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B72" w:rsidRDefault="009D6B72">
      <w:pPr>
        <w:pStyle w:val="Corpsdetexte"/>
        <w:rPr>
          <w:rFonts w:ascii="Times New Roman"/>
          <w:sz w:val="20"/>
        </w:rPr>
      </w:pPr>
    </w:p>
    <w:p w:rsidR="009D6B72" w:rsidRPr="00B06FB5" w:rsidRDefault="00FC6650">
      <w:pPr>
        <w:pStyle w:val="Corpsdetexte"/>
        <w:tabs>
          <w:tab w:val="left" w:pos="4635"/>
        </w:tabs>
        <w:spacing w:before="24"/>
        <w:ind w:left="100"/>
        <w:jc w:val="both"/>
        <w:rPr>
          <w:sz w:val="22"/>
          <w:szCs w:val="22"/>
          <w:highlight w:val="yellow"/>
          <w:lang w:val="fr-BE"/>
        </w:rPr>
      </w:pPr>
      <w:r w:rsidRPr="006671AF">
        <w:rPr>
          <w:lang w:val="fr-BE"/>
        </w:rPr>
        <w:tab/>
      </w:r>
      <w:r w:rsidRPr="00B06FB5">
        <w:rPr>
          <w:sz w:val="22"/>
          <w:szCs w:val="22"/>
          <w:highlight w:val="yellow"/>
          <w:lang w:val="fr-BE"/>
        </w:rPr>
        <w:t>Yverdon-les-Bains le 10 octobre</w:t>
      </w:r>
      <w:r w:rsidRPr="00B06FB5">
        <w:rPr>
          <w:spacing w:val="-8"/>
          <w:sz w:val="22"/>
          <w:szCs w:val="22"/>
          <w:highlight w:val="yellow"/>
          <w:lang w:val="fr-BE"/>
        </w:rPr>
        <w:t xml:space="preserve"> </w:t>
      </w:r>
      <w:r w:rsidRPr="00B06FB5">
        <w:rPr>
          <w:sz w:val="22"/>
          <w:szCs w:val="22"/>
          <w:highlight w:val="yellow"/>
          <w:lang w:val="fr-BE"/>
        </w:rPr>
        <w:t>2019</w:t>
      </w:r>
    </w:p>
    <w:p w:rsidR="00FE2FED" w:rsidRPr="00B06FB5" w:rsidRDefault="00FE2FED">
      <w:pPr>
        <w:pStyle w:val="Corpsdetexte"/>
        <w:spacing w:before="3"/>
        <w:rPr>
          <w:sz w:val="22"/>
          <w:szCs w:val="22"/>
          <w:highlight w:val="yellow"/>
          <w:lang w:val="fr-BE"/>
        </w:rPr>
      </w:pPr>
    </w:p>
    <w:p w:rsidR="00FE2FED" w:rsidRPr="00B06FB5" w:rsidRDefault="00FE2FED">
      <w:pPr>
        <w:pStyle w:val="Corpsdetexte"/>
        <w:spacing w:before="3"/>
        <w:rPr>
          <w:sz w:val="22"/>
          <w:szCs w:val="22"/>
          <w:highlight w:val="yellow"/>
          <w:lang w:val="fr-BE"/>
        </w:rPr>
      </w:pPr>
    </w:p>
    <w:p w:rsidR="00E06B08" w:rsidRPr="00B06FB5" w:rsidRDefault="00FC6650">
      <w:pPr>
        <w:pStyle w:val="Corpsdetexte"/>
        <w:spacing w:line="261" w:lineRule="auto"/>
        <w:ind w:left="4635" w:right="176"/>
        <w:rPr>
          <w:sz w:val="22"/>
          <w:szCs w:val="22"/>
          <w:highlight w:val="yellow"/>
          <w:lang w:val="fr-BE"/>
        </w:rPr>
      </w:pPr>
      <w:r w:rsidRPr="00B06FB5">
        <w:rPr>
          <w:sz w:val="22"/>
          <w:szCs w:val="22"/>
          <w:highlight w:val="yellow"/>
          <w:lang w:val="fr-BE"/>
        </w:rPr>
        <w:t>Municipalité d’Yverdon-les-Bains</w:t>
      </w:r>
    </w:p>
    <w:p w:rsidR="00513E1F" w:rsidRPr="00B06FB5" w:rsidRDefault="00FC6650">
      <w:pPr>
        <w:pStyle w:val="Corpsdetexte"/>
        <w:spacing w:line="261" w:lineRule="auto"/>
        <w:ind w:left="4635" w:right="176"/>
        <w:rPr>
          <w:sz w:val="22"/>
          <w:szCs w:val="22"/>
          <w:highlight w:val="yellow"/>
          <w:lang w:val="fr-BE"/>
        </w:rPr>
      </w:pPr>
      <w:r w:rsidRPr="00B06FB5">
        <w:rPr>
          <w:sz w:val="22"/>
          <w:szCs w:val="22"/>
          <w:highlight w:val="yellow"/>
          <w:lang w:val="fr-BE"/>
        </w:rPr>
        <w:t>Hôtel de Ville</w:t>
      </w:r>
    </w:p>
    <w:p w:rsidR="009D6B72" w:rsidRPr="00B06FB5" w:rsidRDefault="00513E1F">
      <w:pPr>
        <w:pStyle w:val="Corpsdetexte"/>
        <w:spacing w:line="261" w:lineRule="auto"/>
        <w:ind w:left="4635" w:right="176"/>
        <w:rPr>
          <w:sz w:val="22"/>
          <w:szCs w:val="22"/>
          <w:highlight w:val="yellow"/>
          <w:lang w:val="fr-BE"/>
        </w:rPr>
      </w:pPr>
      <w:r w:rsidRPr="00B06FB5">
        <w:rPr>
          <w:sz w:val="22"/>
          <w:szCs w:val="22"/>
          <w:highlight w:val="yellow"/>
          <w:lang w:val="fr-BE"/>
        </w:rPr>
        <w:t>P</w:t>
      </w:r>
      <w:r w:rsidR="00FC6650" w:rsidRPr="00B06FB5">
        <w:rPr>
          <w:sz w:val="22"/>
          <w:szCs w:val="22"/>
          <w:highlight w:val="yellow"/>
          <w:lang w:val="fr-BE"/>
        </w:rPr>
        <w:t>lace Pestalozzi 2</w:t>
      </w:r>
    </w:p>
    <w:p w:rsidR="009D6B72" w:rsidRPr="00275E9D" w:rsidRDefault="00FC6650">
      <w:pPr>
        <w:pStyle w:val="Corpsdetexte"/>
        <w:spacing w:line="274" w:lineRule="exact"/>
        <w:ind w:left="4635"/>
        <w:rPr>
          <w:sz w:val="22"/>
          <w:szCs w:val="22"/>
          <w:lang w:val="fr-BE"/>
        </w:rPr>
      </w:pPr>
      <w:r w:rsidRPr="00B06FB5">
        <w:rPr>
          <w:sz w:val="22"/>
          <w:szCs w:val="22"/>
          <w:highlight w:val="yellow"/>
          <w:lang w:val="fr-BE"/>
        </w:rPr>
        <w:t>1400 Yverdon-les-Bains</w:t>
      </w:r>
    </w:p>
    <w:p w:rsidR="00FE2FED" w:rsidRPr="00275E9D" w:rsidRDefault="00FE2FED">
      <w:pPr>
        <w:pStyle w:val="Corpsdetexte"/>
        <w:rPr>
          <w:sz w:val="22"/>
          <w:szCs w:val="22"/>
          <w:lang w:val="fr-BE"/>
        </w:rPr>
      </w:pPr>
    </w:p>
    <w:p w:rsidR="009D6B72" w:rsidRPr="00275E9D" w:rsidRDefault="009D6B72">
      <w:pPr>
        <w:pStyle w:val="Corpsdetexte"/>
        <w:rPr>
          <w:sz w:val="22"/>
          <w:szCs w:val="22"/>
          <w:lang w:val="fr-BE"/>
        </w:rPr>
      </w:pPr>
    </w:p>
    <w:p w:rsidR="00513E1F" w:rsidRPr="00275E9D" w:rsidRDefault="00513E1F">
      <w:pPr>
        <w:pStyle w:val="Corpsdetexte"/>
        <w:rPr>
          <w:sz w:val="22"/>
          <w:szCs w:val="22"/>
          <w:lang w:val="fr-BE"/>
        </w:rPr>
      </w:pPr>
    </w:p>
    <w:p w:rsidR="009D6B72" w:rsidRPr="00275E9D" w:rsidRDefault="009D6B72">
      <w:pPr>
        <w:pStyle w:val="Corpsdetexte"/>
        <w:spacing w:before="4"/>
        <w:rPr>
          <w:sz w:val="22"/>
          <w:szCs w:val="22"/>
          <w:lang w:val="fr-BE"/>
        </w:rPr>
      </w:pPr>
    </w:p>
    <w:p w:rsidR="00513E1F" w:rsidRPr="00275E9D" w:rsidRDefault="00FC6650" w:rsidP="00FC6650">
      <w:pPr>
        <w:spacing w:line="261" w:lineRule="auto"/>
        <w:ind w:left="212" w:right="230"/>
        <w:jc w:val="center"/>
        <w:rPr>
          <w:b/>
          <w:lang w:val="fr-BE"/>
        </w:rPr>
      </w:pPr>
      <w:r w:rsidRPr="00275E9D">
        <w:rPr>
          <w:b/>
          <w:lang w:val="fr-BE"/>
        </w:rPr>
        <w:t>Opposition collective</w:t>
      </w:r>
    </w:p>
    <w:p w:rsidR="00FC6650" w:rsidRPr="00B06FB5" w:rsidRDefault="00FC6650" w:rsidP="00FC6650">
      <w:pPr>
        <w:spacing w:line="261" w:lineRule="auto"/>
        <w:ind w:left="212" w:right="230"/>
        <w:jc w:val="center"/>
        <w:rPr>
          <w:b/>
          <w:highlight w:val="yellow"/>
          <w:lang w:val="fr-BE"/>
        </w:rPr>
      </w:pPr>
      <w:r w:rsidRPr="00275E9D">
        <w:rPr>
          <w:b/>
          <w:lang w:val="fr-BE"/>
        </w:rPr>
        <w:t xml:space="preserve"> au projet</w:t>
      </w:r>
      <w:r w:rsidR="00513E1F" w:rsidRPr="00275E9D">
        <w:rPr>
          <w:b/>
          <w:lang w:val="fr-BE"/>
        </w:rPr>
        <w:t xml:space="preserve"> </w:t>
      </w:r>
      <w:r w:rsidRPr="00275E9D">
        <w:rPr>
          <w:b/>
          <w:lang w:val="fr-BE"/>
        </w:rPr>
        <w:t xml:space="preserve">de </w:t>
      </w:r>
      <w:r w:rsidRPr="00B06FB5">
        <w:rPr>
          <w:b/>
          <w:highlight w:val="yellow"/>
          <w:lang w:val="fr-BE"/>
        </w:rPr>
        <w:t>nouvelle installation de communication mobile</w:t>
      </w:r>
      <w:r w:rsidR="00E25108" w:rsidRPr="00B06FB5">
        <w:rPr>
          <w:b/>
          <w:highlight w:val="yellow"/>
          <w:lang w:val="fr-BE"/>
        </w:rPr>
        <w:t xml:space="preserve"> </w:t>
      </w:r>
      <w:r w:rsidRPr="00B06FB5">
        <w:rPr>
          <w:b/>
          <w:highlight w:val="yellow"/>
          <w:lang w:val="fr-BE"/>
        </w:rPr>
        <w:t>pour Sunrise</w:t>
      </w:r>
    </w:p>
    <w:p w:rsidR="00513E1F" w:rsidRPr="00B06FB5" w:rsidRDefault="00513E1F" w:rsidP="00FC6650">
      <w:pPr>
        <w:spacing w:line="261" w:lineRule="auto"/>
        <w:ind w:left="212" w:right="230"/>
        <w:jc w:val="center"/>
        <w:rPr>
          <w:b/>
          <w:highlight w:val="yellow"/>
          <w:lang w:val="fr-BE"/>
        </w:rPr>
      </w:pPr>
      <w:r w:rsidRPr="00B06FB5">
        <w:rPr>
          <w:b/>
          <w:highlight w:val="yellow"/>
          <w:lang w:val="fr-BE"/>
        </w:rPr>
        <w:t>A 1400 Yverdon-les-Bains, r</w:t>
      </w:r>
      <w:r w:rsidR="00E25108" w:rsidRPr="00B06FB5">
        <w:rPr>
          <w:b/>
          <w:highlight w:val="yellow"/>
          <w:lang w:val="fr-BE"/>
        </w:rPr>
        <w:t>ue des Moulins 109-113</w:t>
      </w:r>
      <w:r w:rsidR="00FC6650" w:rsidRPr="00B06FB5">
        <w:rPr>
          <w:b/>
          <w:highlight w:val="yellow"/>
          <w:lang w:val="fr-BE"/>
        </w:rPr>
        <w:t xml:space="preserve">, </w:t>
      </w:r>
      <w:r w:rsidR="00E25108" w:rsidRPr="00B06FB5">
        <w:rPr>
          <w:b/>
          <w:highlight w:val="yellow"/>
          <w:lang w:val="fr-BE"/>
        </w:rPr>
        <w:t>Parcelle 2576</w:t>
      </w:r>
    </w:p>
    <w:p w:rsidR="009D6B72" w:rsidRPr="00275E9D" w:rsidRDefault="00E25108" w:rsidP="00FC6650">
      <w:pPr>
        <w:spacing w:line="261" w:lineRule="auto"/>
        <w:ind w:left="212" w:right="230"/>
        <w:jc w:val="center"/>
        <w:rPr>
          <w:b/>
          <w:lang w:val="fr-BE"/>
        </w:rPr>
      </w:pPr>
      <w:r w:rsidRPr="00B06FB5">
        <w:rPr>
          <w:b/>
          <w:highlight w:val="yellow"/>
          <w:lang w:val="fr-BE"/>
        </w:rPr>
        <w:t xml:space="preserve"> N° </w:t>
      </w:r>
      <w:r w:rsidR="00FC6650" w:rsidRPr="00B06FB5">
        <w:rPr>
          <w:b/>
          <w:highlight w:val="yellow"/>
          <w:lang w:val="fr-BE"/>
        </w:rPr>
        <w:t>CAMAC : 187517</w:t>
      </w:r>
    </w:p>
    <w:p w:rsidR="008F2328" w:rsidRPr="00275E9D" w:rsidRDefault="008F2328" w:rsidP="00FC6650">
      <w:pPr>
        <w:pStyle w:val="Corpsdetexte"/>
        <w:ind w:left="820"/>
        <w:jc w:val="center"/>
        <w:rPr>
          <w:sz w:val="22"/>
          <w:szCs w:val="22"/>
          <w:lang w:val="fr-BE"/>
        </w:rPr>
      </w:pPr>
    </w:p>
    <w:p w:rsidR="008F2328" w:rsidRPr="00275E9D" w:rsidRDefault="008F2328">
      <w:pPr>
        <w:pStyle w:val="Corpsdetexte"/>
        <w:ind w:left="820"/>
        <w:rPr>
          <w:sz w:val="22"/>
          <w:szCs w:val="22"/>
          <w:lang w:val="fr-BE"/>
        </w:rPr>
      </w:pPr>
    </w:p>
    <w:p w:rsidR="008F2328" w:rsidRPr="00275E9D" w:rsidRDefault="008F2328">
      <w:pPr>
        <w:pStyle w:val="Corpsdetexte"/>
        <w:ind w:left="820"/>
        <w:rPr>
          <w:sz w:val="22"/>
          <w:szCs w:val="22"/>
          <w:lang w:val="fr-BE"/>
        </w:rPr>
      </w:pPr>
    </w:p>
    <w:p w:rsidR="009D6B72" w:rsidRPr="00B06FB5" w:rsidRDefault="00FC6650" w:rsidP="008F2328">
      <w:pPr>
        <w:pStyle w:val="Corpsdetexte"/>
        <w:spacing w:before="152"/>
        <w:ind w:left="100"/>
        <w:rPr>
          <w:sz w:val="22"/>
          <w:szCs w:val="22"/>
          <w:highlight w:val="yellow"/>
          <w:lang w:val="fr-BE"/>
        </w:rPr>
      </w:pPr>
      <w:r w:rsidRPr="00B06FB5">
        <w:rPr>
          <w:sz w:val="22"/>
          <w:szCs w:val="22"/>
          <w:highlight w:val="yellow"/>
          <w:lang w:val="fr-BE"/>
        </w:rPr>
        <w:t>Monsieur le Syndic,</w:t>
      </w:r>
    </w:p>
    <w:p w:rsidR="009D6B72" w:rsidRPr="00275E9D" w:rsidRDefault="00FC6650">
      <w:pPr>
        <w:pStyle w:val="Corpsdetexte"/>
        <w:spacing w:before="152"/>
        <w:ind w:left="100"/>
        <w:rPr>
          <w:sz w:val="22"/>
          <w:szCs w:val="22"/>
          <w:lang w:val="fr-BE"/>
        </w:rPr>
      </w:pPr>
      <w:r w:rsidRPr="00B06FB5">
        <w:rPr>
          <w:sz w:val="22"/>
          <w:szCs w:val="22"/>
          <w:highlight w:val="yellow"/>
          <w:lang w:val="fr-BE"/>
        </w:rPr>
        <w:t>Mesdames et Messieurs les Municipaux,</w:t>
      </w:r>
    </w:p>
    <w:p w:rsidR="009D6B72" w:rsidRPr="00275E9D" w:rsidRDefault="009D6B72">
      <w:pPr>
        <w:pStyle w:val="Corpsdetexte"/>
        <w:spacing w:before="9"/>
        <w:rPr>
          <w:sz w:val="22"/>
          <w:szCs w:val="22"/>
          <w:lang w:val="fr-BE"/>
        </w:rPr>
      </w:pPr>
    </w:p>
    <w:p w:rsidR="009D6B72" w:rsidRPr="00275E9D" w:rsidRDefault="00E23224">
      <w:pPr>
        <w:pStyle w:val="Corpsdetexte"/>
        <w:spacing w:before="1" w:line="268" w:lineRule="auto"/>
        <w:ind w:left="100" w:right="117"/>
        <w:jc w:val="both"/>
        <w:rPr>
          <w:sz w:val="22"/>
          <w:szCs w:val="22"/>
          <w:lang w:val="fr-BE"/>
        </w:rPr>
      </w:pPr>
      <w:r w:rsidRPr="00275E9D">
        <w:rPr>
          <w:sz w:val="22"/>
          <w:szCs w:val="22"/>
          <w:lang w:val="fr-BE"/>
        </w:rPr>
        <w:t xml:space="preserve">Je soussigné, </w:t>
      </w:r>
      <w:r w:rsidR="00B06FB5">
        <w:rPr>
          <w:sz w:val="22"/>
          <w:szCs w:val="22"/>
          <w:highlight w:val="yellow"/>
          <w:lang w:val="fr-BE"/>
        </w:rPr>
        <w:t>prénom, nom, adresse</w:t>
      </w:r>
      <w:r w:rsidR="00FC6650" w:rsidRPr="00275E9D">
        <w:rPr>
          <w:sz w:val="22"/>
          <w:szCs w:val="22"/>
          <w:lang w:val="fr-BE"/>
        </w:rPr>
        <w:t xml:space="preserve">, agissant en </w:t>
      </w:r>
      <w:r w:rsidRPr="00275E9D">
        <w:rPr>
          <w:sz w:val="22"/>
          <w:szCs w:val="22"/>
          <w:lang w:val="fr-BE"/>
        </w:rPr>
        <w:t xml:space="preserve">nom personnel et en qualité de </w:t>
      </w:r>
      <w:r w:rsidR="00FC6650" w:rsidRPr="00275E9D">
        <w:rPr>
          <w:sz w:val="22"/>
          <w:szCs w:val="22"/>
          <w:lang w:val="fr-BE"/>
        </w:rPr>
        <w:t>mandataire des signataires de l</w:t>
      </w:r>
      <w:r w:rsidR="00FE2FED" w:rsidRPr="00275E9D">
        <w:rPr>
          <w:sz w:val="22"/>
          <w:szCs w:val="22"/>
          <w:lang w:val="fr-BE"/>
        </w:rPr>
        <w:t xml:space="preserve">a présente </w:t>
      </w:r>
      <w:r w:rsidR="00FC6650" w:rsidRPr="00275E9D">
        <w:rPr>
          <w:sz w:val="22"/>
          <w:szCs w:val="22"/>
          <w:lang w:val="fr-BE"/>
        </w:rPr>
        <w:t>opposition collective, déclar</w:t>
      </w:r>
      <w:r w:rsidR="008F2328" w:rsidRPr="00275E9D">
        <w:rPr>
          <w:sz w:val="22"/>
          <w:szCs w:val="22"/>
          <w:lang w:val="fr-BE"/>
        </w:rPr>
        <w:t>e</w:t>
      </w:r>
      <w:r w:rsidR="00FC6650" w:rsidRPr="00275E9D">
        <w:rPr>
          <w:sz w:val="22"/>
          <w:szCs w:val="22"/>
          <w:lang w:val="fr-BE"/>
        </w:rPr>
        <w:t xml:space="preserve"> faire </w:t>
      </w:r>
      <w:r w:rsidR="00FC6650" w:rsidRPr="00275E9D">
        <w:rPr>
          <w:b/>
          <w:sz w:val="22"/>
          <w:szCs w:val="22"/>
          <w:lang w:val="fr-BE"/>
        </w:rPr>
        <w:t>opposition</w:t>
      </w:r>
      <w:r w:rsidR="00FC6650" w:rsidRPr="00275E9D">
        <w:rPr>
          <w:sz w:val="22"/>
          <w:szCs w:val="22"/>
          <w:lang w:val="fr-BE"/>
        </w:rPr>
        <w:t xml:space="preserve"> </w:t>
      </w:r>
      <w:r w:rsidR="008F2328" w:rsidRPr="00275E9D">
        <w:rPr>
          <w:sz w:val="22"/>
          <w:szCs w:val="22"/>
          <w:lang w:val="fr-BE"/>
        </w:rPr>
        <w:t>au projet émargé sous rubrique de</w:t>
      </w:r>
      <w:r w:rsidR="00FC6650" w:rsidRPr="00275E9D">
        <w:rPr>
          <w:sz w:val="22"/>
          <w:szCs w:val="22"/>
          <w:lang w:val="fr-BE"/>
        </w:rPr>
        <w:t xml:space="preserve"> </w:t>
      </w:r>
      <w:r w:rsidR="00FC6650" w:rsidRPr="00B06FB5">
        <w:rPr>
          <w:b/>
          <w:sz w:val="22"/>
          <w:szCs w:val="22"/>
          <w:highlight w:val="yellow"/>
          <w:lang w:val="fr-BE"/>
        </w:rPr>
        <w:t>Sunrise</w:t>
      </w:r>
    </w:p>
    <w:p w:rsidR="009D6B72" w:rsidRPr="00275E9D" w:rsidRDefault="009D6B72">
      <w:pPr>
        <w:pStyle w:val="Corpsdetexte"/>
        <w:spacing w:before="3"/>
        <w:rPr>
          <w:sz w:val="22"/>
          <w:szCs w:val="22"/>
          <w:lang w:val="fr-BE"/>
        </w:rPr>
      </w:pPr>
    </w:p>
    <w:p w:rsidR="009D6B72" w:rsidRPr="00275E9D" w:rsidRDefault="00FC6650" w:rsidP="005A414D">
      <w:pPr>
        <w:pStyle w:val="Corpsdetexte"/>
        <w:spacing w:before="93" w:line="268" w:lineRule="auto"/>
        <w:ind w:left="100" w:right="117"/>
        <w:jc w:val="both"/>
        <w:rPr>
          <w:sz w:val="22"/>
          <w:szCs w:val="22"/>
          <w:lang w:val="fr-BE"/>
        </w:rPr>
      </w:pPr>
      <w:r w:rsidRPr="00275E9D">
        <w:rPr>
          <w:sz w:val="22"/>
          <w:szCs w:val="22"/>
          <w:lang w:val="fr-BE"/>
        </w:rPr>
        <w:t xml:space="preserve">Vous trouverez en annexe les listes comprenant les noms, prénoms, adresses </w:t>
      </w:r>
      <w:r w:rsidR="00365A42" w:rsidRPr="00275E9D">
        <w:rPr>
          <w:sz w:val="22"/>
          <w:szCs w:val="22"/>
          <w:lang w:val="fr-BE"/>
        </w:rPr>
        <w:t xml:space="preserve">et </w:t>
      </w:r>
      <w:r w:rsidRPr="00275E9D">
        <w:rPr>
          <w:sz w:val="22"/>
          <w:szCs w:val="22"/>
          <w:lang w:val="fr-BE"/>
        </w:rPr>
        <w:t>signatures des</w:t>
      </w:r>
      <w:r w:rsidRPr="00275E9D">
        <w:rPr>
          <w:spacing w:val="-2"/>
          <w:sz w:val="22"/>
          <w:szCs w:val="22"/>
          <w:lang w:val="fr-BE"/>
        </w:rPr>
        <w:t xml:space="preserve"> </w:t>
      </w:r>
      <w:r w:rsidRPr="00275E9D">
        <w:rPr>
          <w:spacing w:val="-3"/>
          <w:sz w:val="22"/>
          <w:szCs w:val="22"/>
          <w:lang w:val="fr-BE"/>
        </w:rPr>
        <w:t>signa</w:t>
      </w:r>
      <w:r w:rsidRPr="00275E9D">
        <w:rPr>
          <w:sz w:val="22"/>
          <w:szCs w:val="22"/>
          <w:lang w:val="fr-BE"/>
        </w:rPr>
        <w:t>taires de la présente opposition collective</w:t>
      </w:r>
      <w:r w:rsidR="001C15F2" w:rsidRPr="00275E9D">
        <w:rPr>
          <w:sz w:val="22"/>
          <w:szCs w:val="22"/>
          <w:lang w:val="fr-BE"/>
        </w:rPr>
        <w:t xml:space="preserve"> </w:t>
      </w:r>
      <w:r w:rsidR="001C15F2" w:rsidRPr="00275E9D">
        <w:rPr>
          <w:b/>
          <w:sz w:val="22"/>
          <w:szCs w:val="22"/>
          <w:lang w:val="fr-BE"/>
        </w:rPr>
        <w:t xml:space="preserve">(pièce </w:t>
      </w:r>
      <w:r w:rsidR="00B87100" w:rsidRPr="00275E9D">
        <w:rPr>
          <w:b/>
          <w:sz w:val="22"/>
          <w:szCs w:val="22"/>
          <w:lang w:val="fr-BE"/>
        </w:rPr>
        <w:t>1</w:t>
      </w:r>
      <w:r w:rsidR="001C15F2" w:rsidRPr="00275E9D">
        <w:rPr>
          <w:b/>
          <w:sz w:val="22"/>
          <w:szCs w:val="22"/>
          <w:lang w:val="fr-BE"/>
        </w:rPr>
        <w:t>)</w:t>
      </w:r>
      <w:r w:rsidR="001C15F2" w:rsidRPr="00275E9D">
        <w:rPr>
          <w:sz w:val="22"/>
          <w:szCs w:val="22"/>
          <w:lang w:val="fr-BE"/>
        </w:rPr>
        <w:t>.</w:t>
      </w:r>
    </w:p>
    <w:p w:rsidR="009D6B72" w:rsidRPr="00275E9D" w:rsidRDefault="009D6B72">
      <w:pPr>
        <w:pStyle w:val="Corpsdetexte"/>
        <w:spacing w:before="1"/>
        <w:rPr>
          <w:sz w:val="22"/>
          <w:szCs w:val="22"/>
          <w:lang w:val="fr-BE"/>
        </w:rPr>
      </w:pPr>
    </w:p>
    <w:p w:rsidR="009D6B72" w:rsidRPr="00275E9D" w:rsidRDefault="00FC6650" w:rsidP="00C7338C">
      <w:pPr>
        <w:pStyle w:val="Corpsdetexte"/>
        <w:spacing w:before="93" w:line="268" w:lineRule="auto"/>
        <w:ind w:left="100" w:right="117"/>
        <w:jc w:val="both"/>
        <w:rPr>
          <w:sz w:val="22"/>
          <w:szCs w:val="22"/>
          <w:lang w:val="fr-BE"/>
        </w:rPr>
      </w:pPr>
      <w:r w:rsidRPr="00275E9D">
        <w:rPr>
          <w:sz w:val="22"/>
          <w:szCs w:val="22"/>
          <w:lang w:val="fr-BE"/>
        </w:rPr>
        <w:t xml:space="preserve">L'installation projetée serait source de rayonnements non ionisants (RNI), </w:t>
      </w:r>
      <w:r w:rsidRPr="00275E9D">
        <w:rPr>
          <w:spacing w:val="-5"/>
          <w:sz w:val="22"/>
          <w:szCs w:val="22"/>
          <w:lang w:val="fr-BE"/>
        </w:rPr>
        <w:t xml:space="preserve">qui </w:t>
      </w:r>
      <w:r w:rsidRPr="00275E9D">
        <w:rPr>
          <w:sz w:val="22"/>
          <w:szCs w:val="22"/>
          <w:lang w:val="fr-BE"/>
        </w:rPr>
        <w:t xml:space="preserve">sont des oscillations de champs électriques et magnétiques se propageant à la vitesse de la lumière. Le domaine des champs électromagnétiques (CEM) </w:t>
      </w:r>
      <w:r w:rsidRPr="00275E9D">
        <w:rPr>
          <w:spacing w:val="-3"/>
          <w:sz w:val="22"/>
          <w:szCs w:val="22"/>
          <w:lang w:val="fr-BE"/>
        </w:rPr>
        <w:t>géné</w:t>
      </w:r>
      <w:r w:rsidRPr="00275E9D">
        <w:rPr>
          <w:sz w:val="22"/>
          <w:szCs w:val="22"/>
          <w:lang w:val="fr-BE"/>
        </w:rPr>
        <w:t>rés par les installations d'antennes de réseau de téléphones mobiles est régi par l’Ordonnance sur la protection contre le rayonnement non ionisant du 23 décembre 1999</w:t>
      </w:r>
      <w:r w:rsidRPr="00275E9D">
        <w:rPr>
          <w:spacing w:val="-1"/>
          <w:sz w:val="22"/>
          <w:szCs w:val="22"/>
          <w:lang w:val="fr-BE"/>
        </w:rPr>
        <w:t xml:space="preserve"> </w:t>
      </w:r>
      <w:r w:rsidRPr="00275E9D">
        <w:rPr>
          <w:sz w:val="22"/>
          <w:szCs w:val="22"/>
          <w:lang w:val="fr-BE"/>
        </w:rPr>
        <w:t>(ORNI).</w:t>
      </w:r>
    </w:p>
    <w:p w:rsidR="006671AF" w:rsidRPr="00275E9D" w:rsidRDefault="006671AF">
      <w:pPr>
        <w:pStyle w:val="Corpsdetexte"/>
        <w:spacing w:before="1" w:line="268" w:lineRule="auto"/>
        <w:ind w:left="100" w:right="117"/>
        <w:jc w:val="both"/>
        <w:rPr>
          <w:sz w:val="22"/>
          <w:szCs w:val="22"/>
          <w:lang w:val="fr-BE"/>
        </w:rPr>
      </w:pPr>
    </w:p>
    <w:p w:rsidR="009D6B72" w:rsidRDefault="00FC6650">
      <w:pPr>
        <w:pStyle w:val="Corpsdetexte"/>
        <w:spacing w:before="1" w:line="268" w:lineRule="auto"/>
        <w:ind w:left="100" w:right="117"/>
        <w:jc w:val="both"/>
        <w:rPr>
          <w:sz w:val="22"/>
          <w:szCs w:val="22"/>
          <w:lang w:val="fr-BE"/>
        </w:rPr>
      </w:pPr>
      <w:r w:rsidRPr="00275E9D">
        <w:rPr>
          <w:sz w:val="22"/>
          <w:szCs w:val="22"/>
          <w:lang w:val="fr-BE"/>
        </w:rPr>
        <w:t xml:space="preserve">Les effets des CEM sont connus et ont été démontrés aussi bien dans le </w:t>
      </w:r>
      <w:r w:rsidRPr="00275E9D">
        <w:rPr>
          <w:spacing w:val="-4"/>
          <w:sz w:val="22"/>
          <w:szCs w:val="22"/>
          <w:lang w:val="fr-BE"/>
        </w:rPr>
        <w:t>do</w:t>
      </w:r>
      <w:r w:rsidRPr="00275E9D">
        <w:rPr>
          <w:sz w:val="22"/>
          <w:szCs w:val="22"/>
          <w:lang w:val="fr-BE"/>
        </w:rPr>
        <w:t xml:space="preserve">maine des basses fréquences que dans celui des hautes fréquences. Les </w:t>
      </w:r>
      <w:r w:rsidRPr="00275E9D">
        <w:rPr>
          <w:spacing w:val="-6"/>
          <w:sz w:val="22"/>
          <w:szCs w:val="22"/>
          <w:lang w:val="fr-BE"/>
        </w:rPr>
        <w:t xml:space="preserve">CEM </w:t>
      </w:r>
      <w:r w:rsidRPr="00275E9D">
        <w:rPr>
          <w:sz w:val="22"/>
          <w:szCs w:val="22"/>
          <w:lang w:val="fr-BE"/>
        </w:rPr>
        <w:t xml:space="preserve">de hautes fréquences induisent un échauffement corporel. Au-delà de </w:t>
      </w:r>
      <w:r w:rsidRPr="00275E9D">
        <w:rPr>
          <w:spacing w:val="-3"/>
          <w:sz w:val="22"/>
          <w:szCs w:val="22"/>
          <w:lang w:val="fr-BE"/>
        </w:rPr>
        <w:t xml:space="preserve">certains </w:t>
      </w:r>
      <w:r w:rsidRPr="00275E9D">
        <w:rPr>
          <w:sz w:val="22"/>
          <w:szCs w:val="22"/>
          <w:lang w:val="fr-BE"/>
        </w:rPr>
        <w:t xml:space="preserve">seuils et en cas de taux élevé, ces modifications provoquent des lésions </w:t>
      </w:r>
      <w:r w:rsidRPr="00275E9D">
        <w:rPr>
          <w:spacing w:val="-3"/>
          <w:sz w:val="22"/>
          <w:szCs w:val="22"/>
          <w:lang w:val="fr-BE"/>
        </w:rPr>
        <w:t xml:space="preserve">aiguës </w:t>
      </w:r>
      <w:r w:rsidRPr="00275E9D">
        <w:rPr>
          <w:sz w:val="22"/>
          <w:szCs w:val="22"/>
          <w:lang w:val="fr-BE"/>
        </w:rPr>
        <w:t xml:space="preserve">telles que brûlures, fibrillations cardiaques ou réactions de type fiévreux (voir le rapport d'un groupe de travail interdépartemental de la Confédération en </w:t>
      </w:r>
      <w:r w:rsidRPr="00275E9D">
        <w:rPr>
          <w:spacing w:val="-3"/>
          <w:sz w:val="22"/>
          <w:szCs w:val="22"/>
          <w:lang w:val="fr-BE"/>
        </w:rPr>
        <w:t>exécu</w:t>
      </w:r>
      <w:r w:rsidRPr="00275E9D">
        <w:rPr>
          <w:sz w:val="22"/>
          <w:szCs w:val="22"/>
          <w:lang w:val="fr-BE"/>
        </w:rPr>
        <w:t xml:space="preserve">tion du postulat Sommaruga 00.3565 d'avril 2006 intitulé </w:t>
      </w:r>
      <w:r w:rsidRPr="00275E9D">
        <w:rPr>
          <w:i/>
          <w:sz w:val="22"/>
          <w:szCs w:val="22"/>
          <w:lang w:val="fr-BE"/>
        </w:rPr>
        <w:t xml:space="preserve">Rayonnements non </w:t>
      </w:r>
      <w:r w:rsidRPr="00275E9D">
        <w:rPr>
          <w:i/>
          <w:spacing w:val="-4"/>
          <w:sz w:val="22"/>
          <w:szCs w:val="22"/>
          <w:lang w:val="fr-BE"/>
        </w:rPr>
        <w:t>io</w:t>
      </w:r>
      <w:r w:rsidRPr="00275E9D">
        <w:rPr>
          <w:i/>
          <w:sz w:val="22"/>
          <w:szCs w:val="22"/>
          <w:lang w:val="fr-BE"/>
        </w:rPr>
        <w:t>nisants et protection de la santé en Suisse. Vue d'ensemble, besoins et recommandations</w:t>
      </w:r>
      <w:r w:rsidRPr="00275E9D">
        <w:rPr>
          <w:sz w:val="22"/>
          <w:szCs w:val="22"/>
          <w:lang w:val="fr-BE"/>
        </w:rPr>
        <w:t>, page 6).</w:t>
      </w:r>
    </w:p>
    <w:p w:rsidR="00275E9D" w:rsidRPr="00275E9D" w:rsidRDefault="00275E9D">
      <w:pPr>
        <w:pStyle w:val="Corpsdetexte"/>
        <w:spacing w:before="1" w:line="268" w:lineRule="auto"/>
        <w:ind w:left="100" w:right="117"/>
        <w:jc w:val="both"/>
        <w:rPr>
          <w:sz w:val="22"/>
          <w:szCs w:val="22"/>
          <w:lang w:val="fr-BE"/>
        </w:rPr>
      </w:pPr>
    </w:p>
    <w:p w:rsidR="009D6B72" w:rsidRPr="00275E9D" w:rsidRDefault="00FC6650">
      <w:pPr>
        <w:spacing w:line="290" w:lineRule="auto"/>
        <w:ind w:left="100" w:right="117"/>
        <w:jc w:val="both"/>
        <w:rPr>
          <w:lang w:val="fr-BE"/>
        </w:rPr>
      </w:pPr>
      <w:r w:rsidRPr="00275E9D">
        <w:rPr>
          <w:lang w:val="fr-BE"/>
        </w:rPr>
        <w:t xml:space="preserve">En </w:t>
      </w:r>
      <w:r w:rsidRPr="00275E9D">
        <w:rPr>
          <w:spacing w:val="-4"/>
          <w:lang w:val="fr-BE"/>
        </w:rPr>
        <w:t xml:space="preserve">2011, </w:t>
      </w:r>
      <w:r w:rsidRPr="00275E9D">
        <w:rPr>
          <w:lang w:val="fr-BE"/>
        </w:rPr>
        <w:t xml:space="preserve">l’Organisation Mondiale de la Santé (OMS) a classé les CEM de radiofré- quence, émis par les antennes de téléphonie mobile, dans la catégorie des </w:t>
      </w:r>
      <w:r w:rsidRPr="00275E9D">
        <w:rPr>
          <w:u w:val="single"/>
          <w:lang w:val="fr-BE"/>
        </w:rPr>
        <w:t>can-</w:t>
      </w:r>
      <w:r w:rsidRPr="00275E9D">
        <w:rPr>
          <w:lang w:val="fr-BE"/>
        </w:rPr>
        <w:t xml:space="preserve"> </w:t>
      </w:r>
      <w:r w:rsidRPr="00275E9D">
        <w:rPr>
          <w:u w:val="single"/>
          <w:lang w:val="fr-BE"/>
        </w:rPr>
        <w:t>céro</w:t>
      </w:r>
      <w:r w:rsidRPr="00275E9D">
        <w:rPr>
          <w:lang w:val="fr-BE"/>
        </w:rPr>
        <w:t>g</w:t>
      </w:r>
      <w:r w:rsidRPr="00275E9D">
        <w:rPr>
          <w:u w:val="single"/>
          <w:lang w:val="fr-BE"/>
        </w:rPr>
        <w:t>ènes possibles pour l’homme</w:t>
      </w:r>
      <w:r w:rsidRPr="00275E9D">
        <w:rPr>
          <w:lang w:val="fr-BE"/>
        </w:rPr>
        <w:t xml:space="preserve"> (Groupe 2B), au même titre que l’amiante, le plomb et le </w:t>
      </w:r>
      <w:r w:rsidRPr="00275E9D">
        <w:rPr>
          <w:spacing w:val="-7"/>
          <w:lang w:val="fr-BE"/>
        </w:rPr>
        <w:t>DDT.</w:t>
      </w:r>
    </w:p>
    <w:p w:rsidR="009D6B72" w:rsidRPr="00275E9D" w:rsidRDefault="00FC6650">
      <w:pPr>
        <w:spacing w:before="213" w:line="290" w:lineRule="auto"/>
        <w:ind w:left="100" w:right="117"/>
        <w:jc w:val="both"/>
        <w:rPr>
          <w:lang w:val="fr-BE"/>
        </w:rPr>
      </w:pPr>
      <w:r w:rsidRPr="00275E9D">
        <w:rPr>
          <w:lang w:val="fr-BE"/>
        </w:rPr>
        <w:lastRenderedPageBreak/>
        <w:t xml:space="preserve">La Résolution 1815, adoptée le 27 mai 2011 par l’Assemblée parlementaire du Conseil de l’Europe, </w:t>
      </w:r>
      <w:r w:rsidRPr="00275E9D">
        <w:rPr>
          <w:u w:val="single"/>
          <w:lang w:val="fr-BE"/>
        </w:rPr>
        <w:t>dont la Suisse fait partie</w:t>
      </w:r>
      <w:r w:rsidRPr="00275E9D">
        <w:rPr>
          <w:lang w:val="fr-BE"/>
        </w:rPr>
        <w:t xml:space="preserve">, appelle les Etats Membres à </w:t>
      </w:r>
      <w:r w:rsidRPr="00275E9D">
        <w:rPr>
          <w:i/>
          <w:lang w:val="fr-BE"/>
        </w:rPr>
        <w:t xml:space="preserve">fixer un seuil de pré- vention pour les niveaux d’exposition à long terme aux micro-ondes en intérieur, confor- mément au principe de précaution, ne dépassant pas </w:t>
      </w:r>
      <w:r w:rsidRPr="00275E9D">
        <w:rPr>
          <w:b/>
          <w:i/>
          <w:color w:val="19962E"/>
          <w:u w:val="single" w:color="00BA63"/>
          <w:lang w:val="fr-BE"/>
        </w:rPr>
        <w:t>0,6 volt par mètre</w:t>
      </w:r>
      <w:r w:rsidRPr="00275E9D">
        <w:rPr>
          <w:i/>
          <w:lang w:val="fr-BE"/>
        </w:rPr>
        <w:t xml:space="preserve">, et [à] le rame- ner à moyen terme à </w:t>
      </w:r>
      <w:r w:rsidRPr="00275E9D">
        <w:rPr>
          <w:b/>
          <w:i/>
          <w:color w:val="19962E"/>
          <w:u w:val="single" w:color="00BA63"/>
          <w:lang w:val="fr-BE"/>
        </w:rPr>
        <w:t>0,2 volt par mètre</w:t>
      </w:r>
      <w:r w:rsidRPr="00275E9D">
        <w:rPr>
          <w:i/>
          <w:lang w:val="fr-BE"/>
        </w:rPr>
        <w:t xml:space="preserve">. </w:t>
      </w:r>
      <w:r w:rsidRPr="00275E9D">
        <w:rPr>
          <w:lang w:val="fr-BE"/>
        </w:rPr>
        <w:t>(point 8.2.1)</w:t>
      </w:r>
    </w:p>
    <w:p w:rsidR="003550D8" w:rsidRDefault="003550D8" w:rsidP="003A12D3">
      <w:pPr>
        <w:spacing w:before="213" w:line="290" w:lineRule="auto"/>
        <w:ind w:left="100" w:right="117"/>
        <w:jc w:val="both"/>
        <w:rPr>
          <w:lang w:val="fr-BE"/>
        </w:rPr>
      </w:pPr>
    </w:p>
    <w:p w:rsidR="009D6B72" w:rsidRPr="00275E9D" w:rsidRDefault="00C7338C" w:rsidP="003A12D3">
      <w:pPr>
        <w:spacing w:before="213" w:line="290" w:lineRule="auto"/>
        <w:ind w:left="100" w:right="117"/>
        <w:jc w:val="both"/>
        <w:rPr>
          <w:lang w:val="fr-BE"/>
        </w:rPr>
      </w:pPr>
      <w:r w:rsidRPr="00275E9D">
        <w:rPr>
          <w:lang w:val="fr-BE"/>
        </w:rPr>
        <w:t xml:space="preserve">Je </w:t>
      </w:r>
      <w:r w:rsidR="00FC6650" w:rsidRPr="00275E9D">
        <w:rPr>
          <w:lang w:val="fr-BE"/>
        </w:rPr>
        <w:t xml:space="preserve">vous communique un extrait d’un résumé - publié le 2 novembre 2018 </w:t>
      </w:r>
      <w:r w:rsidR="006A6A0A" w:rsidRPr="00275E9D">
        <w:rPr>
          <w:lang w:val="fr-BE"/>
        </w:rPr>
        <w:t>-</w:t>
      </w:r>
      <w:r w:rsidR="00FC6650" w:rsidRPr="00275E9D">
        <w:rPr>
          <w:lang w:val="fr-BE"/>
        </w:rPr>
        <w:t xml:space="preserve"> du</w:t>
      </w:r>
      <w:r w:rsidR="00FE2FED" w:rsidRPr="00275E9D">
        <w:rPr>
          <w:lang w:val="fr-BE"/>
        </w:rPr>
        <w:t xml:space="preserve"> </w:t>
      </w:r>
      <w:r w:rsidR="00FC6650" w:rsidRPr="00275E9D">
        <w:rPr>
          <w:i/>
          <w:lang w:val="fr-BE"/>
        </w:rPr>
        <w:t xml:space="preserve">Programme National de Toxicologie américain (NTP) </w:t>
      </w:r>
      <w:r w:rsidR="00FC6650" w:rsidRPr="00275E9D">
        <w:rPr>
          <w:b/>
          <w:lang w:val="fr-BE"/>
        </w:rPr>
        <w:t xml:space="preserve">(pièce </w:t>
      </w:r>
      <w:r w:rsidR="00365A42" w:rsidRPr="00275E9D">
        <w:rPr>
          <w:b/>
          <w:lang w:val="fr-BE"/>
        </w:rPr>
        <w:t>2</w:t>
      </w:r>
      <w:r w:rsidR="00FC6650" w:rsidRPr="00275E9D">
        <w:rPr>
          <w:b/>
          <w:lang w:val="fr-BE"/>
        </w:rPr>
        <w:t xml:space="preserve">) </w:t>
      </w:r>
      <w:r w:rsidR="00FC6650" w:rsidRPr="00275E9D">
        <w:rPr>
          <w:lang w:val="fr-BE"/>
        </w:rPr>
        <w:t>:</w:t>
      </w:r>
    </w:p>
    <w:p w:rsidR="009D6B72" w:rsidRPr="00275E9D" w:rsidRDefault="009D6B72">
      <w:pPr>
        <w:pStyle w:val="Corpsdetexte"/>
        <w:spacing w:before="2"/>
        <w:rPr>
          <w:sz w:val="22"/>
          <w:szCs w:val="22"/>
          <w:lang w:val="fr-BE"/>
        </w:rPr>
      </w:pPr>
    </w:p>
    <w:p w:rsidR="009D6B72" w:rsidRPr="00275E9D" w:rsidRDefault="00FC6650" w:rsidP="00FE2FED">
      <w:pPr>
        <w:spacing w:line="290" w:lineRule="auto"/>
        <w:ind w:left="525" w:right="118"/>
        <w:jc w:val="both"/>
        <w:rPr>
          <w:b/>
          <w:lang w:val="fr-BE"/>
        </w:rPr>
      </w:pPr>
      <w:r w:rsidRPr="00275E9D">
        <w:rPr>
          <w:b/>
          <w:lang w:val="fr-BE"/>
        </w:rPr>
        <w:t>« Conclusions définitives du Programme National de Toxicologie américain (NTP) :</w:t>
      </w:r>
      <w:r w:rsidR="00FE2FED" w:rsidRPr="00275E9D">
        <w:rPr>
          <w:b/>
          <w:lang w:val="fr-BE"/>
        </w:rPr>
        <w:t xml:space="preserve"> </w:t>
      </w:r>
      <w:r w:rsidRPr="00275E9D">
        <w:rPr>
          <w:b/>
          <w:lang w:val="fr-BE"/>
        </w:rPr>
        <w:t>Des preuves évidentes entre ondes de téléphonie mobile et tumeurs chez l’animal »</w:t>
      </w:r>
    </w:p>
    <w:p w:rsidR="009D6B72" w:rsidRPr="00275E9D" w:rsidRDefault="009D6B72">
      <w:pPr>
        <w:pStyle w:val="Corpsdetexte"/>
        <w:spacing w:before="3"/>
        <w:rPr>
          <w:b/>
          <w:lang w:val="fr-BE"/>
        </w:rPr>
      </w:pPr>
    </w:p>
    <w:p w:rsidR="009D6B72" w:rsidRPr="00275E9D" w:rsidRDefault="00FC6650" w:rsidP="007353F2">
      <w:pPr>
        <w:spacing w:line="290" w:lineRule="auto"/>
        <w:ind w:left="525" w:right="117" w:firstLine="76"/>
        <w:jc w:val="both"/>
        <w:rPr>
          <w:lang w:val="fr-BE"/>
        </w:rPr>
      </w:pPr>
      <w:r w:rsidRPr="00275E9D">
        <w:rPr>
          <w:lang w:val="fr-BE"/>
        </w:rPr>
        <w:t xml:space="preserve">« Après dix années d'études, 30 millions de dollars dépensés, et un processus </w:t>
      </w:r>
      <w:r w:rsidRPr="00275E9D">
        <w:rPr>
          <w:spacing w:val="-4"/>
          <w:lang w:val="fr-BE"/>
        </w:rPr>
        <w:t>ro-</w:t>
      </w:r>
      <w:r w:rsidRPr="00275E9D">
        <w:rPr>
          <w:spacing w:val="53"/>
          <w:lang w:val="fr-BE"/>
        </w:rPr>
        <w:t xml:space="preserve"> </w:t>
      </w:r>
      <w:r w:rsidRPr="00275E9D">
        <w:rPr>
          <w:lang w:val="fr-BE"/>
        </w:rPr>
        <w:t xml:space="preserve">buste d'évaluation des résultats par des experts extérieurs, le NTP américain rend aujourd'hui </w:t>
      </w:r>
      <w:r w:rsidRPr="00275E9D">
        <w:rPr>
          <w:color w:val="00000A"/>
          <w:lang w:val="fr-BE"/>
        </w:rPr>
        <w:t xml:space="preserve">ses conclusions définitives </w:t>
      </w:r>
      <w:r w:rsidRPr="00275E9D">
        <w:rPr>
          <w:lang w:val="fr-BE"/>
        </w:rPr>
        <w:t>sur une étude dont l’objet était d'établir ou</w:t>
      </w:r>
      <w:r w:rsidR="007353F2" w:rsidRPr="00275E9D">
        <w:rPr>
          <w:lang w:val="fr-BE"/>
        </w:rPr>
        <w:t xml:space="preserve"> </w:t>
      </w:r>
      <w:r w:rsidRPr="00275E9D">
        <w:rPr>
          <w:lang w:val="fr-BE"/>
        </w:rPr>
        <w:t>non un lien de causalité entre exposition aux ondes et cancer. Et elles sont sans ap- pel : chez les rats mâles, l'apparition de tumeurs au niveau du cœur est reliée à l'ex- position aux ondes 2 G et 3 G, et certaines preuves sont relevées concernant les tumeurs cérébrales et des glandes surrénales.</w:t>
      </w:r>
    </w:p>
    <w:p w:rsidR="006671AF" w:rsidRPr="00275E9D" w:rsidRDefault="006671AF" w:rsidP="007353F2">
      <w:pPr>
        <w:spacing w:line="290" w:lineRule="auto"/>
        <w:ind w:left="525" w:right="117" w:firstLine="76"/>
        <w:jc w:val="both"/>
        <w:rPr>
          <w:lang w:val="fr-BE"/>
        </w:rPr>
      </w:pPr>
    </w:p>
    <w:p w:rsidR="009D6B72" w:rsidRPr="00275E9D" w:rsidRDefault="00FC6650">
      <w:pPr>
        <w:spacing w:before="5" w:line="290" w:lineRule="auto"/>
        <w:ind w:left="525" w:right="117"/>
        <w:jc w:val="both"/>
        <w:rPr>
          <w:lang w:val="fr-BE"/>
        </w:rPr>
      </w:pPr>
      <w:r w:rsidRPr="00275E9D">
        <w:rPr>
          <w:lang w:val="fr-BE"/>
        </w:rPr>
        <w:t xml:space="preserve">Hasard du calendrier, ces résultats arrivent au moment où </w:t>
      </w:r>
      <w:r w:rsidRPr="00275E9D">
        <w:rPr>
          <w:color w:val="00000A"/>
          <w:lang w:val="fr-BE"/>
        </w:rPr>
        <w:t xml:space="preserve">157 scientifiques et mé- decins </w:t>
      </w:r>
      <w:r w:rsidRPr="00275E9D">
        <w:rPr>
          <w:lang w:val="fr-BE"/>
        </w:rPr>
        <w:t xml:space="preserve">et </w:t>
      </w:r>
      <w:r w:rsidRPr="00275E9D">
        <w:rPr>
          <w:color w:val="00000A"/>
          <w:lang w:val="fr-BE"/>
        </w:rPr>
        <w:t xml:space="preserve">86 ONG </w:t>
      </w:r>
      <w:r w:rsidRPr="00275E9D">
        <w:rPr>
          <w:lang w:val="fr-BE"/>
        </w:rPr>
        <w:t xml:space="preserve">du monde entier en </w:t>
      </w:r>
      <w:r w:rsidRPr="00275E9D">
        <w:rPr>
          <w:color w:val="00000A"/>
          <w:lang w:val="fr-BE"/>
        </w:rPr>
        <w:t xml:space="preserve">appellent </w:t>
      </w:r>
      <w:r w:rsidRPr="00275E9D">
        <w:rPr>
          <w:lang w:val="fr-BE"/>
        </w:rPr>
        <w:t>à proposer des valeurs limites d'ex- position réellement protectrices, en réaction aux nouvelles directives établies de manière non scientifique par l'ICNIRP, un organisme non indépendant de l'industrie, ayant pourtant mandat de l'OMS pour établir des valeurs guide.</w:t>
      </w:r>
    </w:p>
    <w:p w:rsidR="006671AF" w:rsidRPr="00275E9D" w:rsidRDefault="006671AF">
      <w:pPr>
        <w:spacing w:before="5" w:line="290" w:lineRule="auto"/>
        <w:ind w:left="525" w:right="117"/>
        <w:jc w:val="both"/>
        <w:rPr>
          <w:lang w:val="fr-BE"/>
        </w:rPr>
      </w:pPr>
    </w:p>
    <w:p w:rsidR="009D6B72" w:rsidRPr="00275E9D" w:rsidRDefault="00FC6650">
      <w:pPr>
        <w:spacing w:before="5" w:line="290" w:lineRule="auto"/>
        <w:ind w:left="525" w:right="117"/>
        <w:jc w:val="both"/>
        <w:rPr>
          <w:lang w:val="fr-BE"/>
        </w:rPr>
      </w:pPr>
      <w:r w:rsidRPr="00275E9D">
        <w:rPr>
          <w:lang w:val="fr-BE"/>
        </w:rPr>
        <w:t>Selon le Dr Gerd Oberfeld, du Département de Santé Publique de Salzburg en Au- triche, on s'est mondialement appuyé depuis trop longtemps sur des directives par- tielles en matière d'exposition: “L'ensemble des preuves scientifiques des effets né- fastes sur la santé de l'exposition aux CEM est accablant. Il n'est même plus néces- saire de faire appel au principe de précaution pour prendre des mesures.”</w:t>
      </w:r>
    </w:p>
    <w:p w:rsidR="006671AF" w:rsidRPr="00275E9D" w:rsidRDefault="006671AF">
      <w:pPr>
        <w:spacing w:before="5" w:line="290" w:lineRule="auto"/>
        <w:ind w:left="525" w:right="117"/>
        <w:jc w:val="both"/>
        <w:rPr>
          <w:lang w:val="fr-BE"/>
        </w:rPr>
      </w:pPr>
    </w:p>
    <w:p w:rsidR="009D6B72" w:rsidRPr="00275E9D" w:rsidRDefault="00FC6650">
      <w:pPr>
        <w:spacing w:before="6" w:line="290" w:lineRule="auto"/>
        <w:ind w:left="525" w:right="117"/>
        <w:jc w:val="both"/>
        <w:rPr>
          <w:i/>
          <w:lang w:val="fr-BE"/>
        </w:rPr>
      </w:pPr>
      <w:r w:rsidRPr="00275E9D">
        <w:rPr>
          <w:lang w:val="fr-BE"/>
        </w:rPr>
        <w:t>Faut-il rappeler que les résultats que vient de publier le NTP arrivent en</w:t>
      </w:r>
      <w:r w:rsidRPr="00275E9D">
        <w:rPr>
          <w:spacing w:val="-20"/>
          <w:lang w:val="fr-BE"/>
        </w:rPr>
        <w:t xml:space="preserve"> </w:t>
      </w:r>
      <w:r w:rsidRPr="00275E9D">
        <w:rPr>
          <w:lang w:val="fr-BE"/>
        </w:rPr>
        <w:t xml:space="preserve">complément de tout un corpus de récentes études, encore non intégrées dans les </w:t>
      </w:r>
      <w:r w:rsidRPr="00275E9D">
        <w:rPr>
          <w:spacing w:val="-3"/>
          <w:lang w:val="fr-BE"/>
        </w:rPr>
        <w:t xml:space="preserve">expertises </w:t>
      </w:r>
      <w:r w:rsidRPr="00275E9D">
        <w:rPr>
          <w:lang w:val="fr-BE"/>
        </w:rPr>
        <w:t xml:space="preserve">d'évaluation du risque, comme par exemple </w:t>
      </w:r>
      <w:r w:rsidRPr="00275E9D">
        <w:rPr>
          <w:color w:val="00000A"/>
          <w:lang w:val="fr-BE"/>
        </w:rPr>
        <w:t xml:space="preserve">l'étude Lerchl de 2015 </w:t>
      </w:r>
      <w:r w:rsidRPr="00275E9D">
        <w:rPr>
          <w:lang w:val="fr-BE"/>
        </w:rPr>
        <w:t xml:space="preserve">confirmant le  rôle de promotion des tumeurs chez la souris à des niveaux inférieurs aux valeurs limites, ou encore cette </w:t>
      </w:r>
      <w:r w:rsidRPr="00275E9D">
        <w:rPr>
          <w:color w:val="00000A"/>
          <w:lang w:val="fr-BE"/>
        </w:rPr>
        <w:t xml:space="preserve">étude épidémiologique indienne </w:t>
      </w:r>
      <w:r w:rsidRPr="00275E9D">
        <w:rPr>
          <w:lang w:val="fr-BE"/>
        </w:rPr>
        <w:t xml:space="preserve">parue en novembre </w:t>
      </w:r>
      <w:r w:rsidRPr="00275E9D">
        <w:rPr>
          <w:spacing w:val="-3"/>
          <w:lang w:val="fr-BE"/>
        </w:rPr>
        <w:t xml:space="preserve">2017, </w:t>
      </w:r>
      <w:r w:rsidRPr="00275E9D">
        <w:rPr>
          <w:lang w:val="fr-BE"/>
        </w:rPr>
        <w:t xml:space="preserve">montrant des dommages à l'ADN chez les riverains d'antennes à des niveaux d'ex- position rencontrés usuellement dans l'environnement, notamment en milieu </w:t>
      </w:r>
      <w:r w:rsidRPr="00275E9D">
        <w:rPr>
          <w:spacing w:val="-3"/>
          <w:lang w:val="fr-BE"/>
        </w:rPr>
        <w:t xml:space="preserve">urbain. </w:t>
      </w:r>
      <w:r w:rsidRPr="00275E9D">
        <w:rPr>
          <w:i/>
          <w:lang w:val="fr-BE"/>
        </w:rPr>
        <w:t>[…]</w:t>
      </w:r>
      <w:r w:rsidRPr="00275E9D">
        <w:rPr>
          <w:i/>
          <w:spacing w:val="-1"/>
          <w:lang w:val="fr-BE"/>
        </w:rPr>
        <w:t xml:space="preserve"> </w:t>
      </w:r>
      <w:r w:rsidRPr="00275E9D">
        <w:rPr>
          <w:i/>
          <w:lang w:val="fr-BE"/>
        </w:rPr>
        <w:t>»</w:t>
      </w:r>
    </w:p>
    <w:p w:rsidR="00D62838" w:rsidRDefault="00D62838">
      <w:pPr>
        <w:spacing w:before="123" w:line="290" w:lineRule="auto"/>
        <w:ind w:left="100" w:right="117"/>
        <w:jc w:val="both"/>
        <w:rPr>
          <w:lang w:val="fr-BE"/>
        </w:rPr>
      </w:pPr>
    </w:p>
    <w:p w:rsidR="003550D8" w:rsidRDefault="003550D8">
      <w:pPr>
        <w:spacing w:before="123" w:line="290" w:lineRule="auto"/>
        <w:ind w:left="100" w:right="117"/>
        <w:jc w:val="both"/>
        <w:rPr>
          <w:lang w:val="fr-BE"/>
        </w:rPr>
      </w:pPr>
    </w:p>
    <w:p w:rsidR="009D6B72" w:rsidRPr="00E25108" w:rsidRDefault="00FC6650">
      <w:pPr>
        <w:spacing w:before="123" w:line="290" w:lineRule="auto"/>
        <w:ind w:left="100" w:right="117"/>
        <w:jc w:val="both"/>
        <w:rPr>
          <w:lang w:val="fr-BE"/>
        </w:rPr>
      </w:pPr>
      <w:r w:rsidRPr="00E25108">
        <w:rPr>
          <w:lang w:val="fr-BE"/>
        </w:rPr>
        <w:lastRenderedPageBreak/>
        <w:t xml:space="preserve">En 2018, une recension internationale des études publiées par la communauté médico- scientifique </w:t>
      </w:r>
      <w:r w:rsidRPr="003550D8">
        <w:rPr>
          <w:u w:val="single"/>
          <w:lang w:val="fr-BE"/>
        </w:rPr>
        <w:t>sans conflit d’intérêts</w:t>
      </w:r>
      <w:r w:rsidRPr="00E25108">
        <w:rPr>
          <w:lang w:val="fr-BE"/>
        </w:rPr>
        <w:t xml:space="preserve"> </w:t>
      </w:r>
      <w:r w:rsidRPr="00E25108">
        <w:rPr>
          <w:b/>
          <w:lang w:val="fr-BE"/>
        </w:rPr>
        <w:t xml:space="preserve">(pièce </w:t>
      </w:r>
      <w:r w:rsidR="00365A42">
        <w:rPr>
          <w:b/>
          <w:lang w:val="fr-BE"/>
        </w:rPr>
        <w:t>3</w:t>
      </w:r>
      <w:r w:rsidRPr="00E25108">
        <w:rPr>
          <w:b/>
          <w:lang w:val="fr-BE"/>
        </w:rPr>
        <w:t xml:space="preserve">) </w:t>
      </w:r>
      <w:r w:rsidRPr="00E25108">
        <w:rPr>
          <w:lang w:val="fr-BE"/>
        </w:rPr>
        <w:t xml:space="preserve">a permis de conclure que les champs élec- tromagnétiques </w:t>
      </w:r>
      <w:r w:rsidRPr="00E25108">
        <w:rPr>
          <w:u w:val="single"/>
          <w:lang w:val="fr-BE"/>
        </w:rPr>
        <w:t>d'intensité faible et non thermique</w:t>
      </w:r>
      <w:r w:rsidRPr="00E25108">
        <w:rPr>
          <w:lang w:val="fr-BE"/>
        </w:rPr>
        <w:t xml:space="preserve"> augmentent le risque de cancer chez les animaux et les humains :</w:t>
      </w:r>
    </w:p>
    <w:p w:rsidR="009D6B72" w:rsidRPr="00E25108" w:rsidRDefault="00FC6650">
      <w:pPr>
        <w:spacing w:before="120" w:line="290" w:lineRule="auto"/>
        <w:ind w:left="525" w:right="117"/>
        <w:jc w:val="both"/>
        <w:rPr>
          <w:b/>
          <w:lang w:val="fr-BE"/>
        </w:rPr>
      </w:pPr>
      <w:r w:rsidRPr="00E25108">
        <w:rPr>
          <w:b/>
          <w:lang w:val="fr-BE"/>
        </w:rPr>
        <w:t>« Effets thermiques et non thermiques sur la santé des rayonnements non io- nisants de faible intensité : Une perspective internationale »</w:t>
      </w:r>
    </w:p>
    <w:p w:rsidR="006A6A0A" w:rsidRDefault="006A6A0A">
      <w:pPr>
        <w:spacing w:before="2"/>
        <w:ind w:left="525"/>
        <w:jc w:val="both"/>
        <w:rPr>
          <w:u w:val="single"/>
          <w:lang w:val="fr-BE"/>
        </w:rPr>
      </w:pPr>
    </w:p>
    <w:p w:rsidR="00D62838" w:rsidRDefault="00FC6650" w:rsidP="00D62838">
      <w:pPr>
        <w:spacing w:before="2"/>
        <w:ind w:left="525"/>
        <w:jc w:val="both"/>
        <w:rPr>
          <w:lang w:val="fr-BE"/>
        </w:rPr>
      </w:pPr>
      <w:r w:rsidRPr="00E25108">
        <w:rPr>
          <w:u w:val="single"/>
          <w:lang w:val="fr-BE"/>
        </w:rPr>
        <w:t>« Faits saillants »</w:t>
      </w:r>
      <w:r w:rsidRPr="00E25108">
        <w:rPr>
          <w:lang w:val="fr-BE"/>
        </w:rPr>
        <w:t xml:space="preserve"> :</w:t>
      </w:r>
    </w:p>
    <w:p w:rsidR="00D62838" w:rsidRPr="003550D8" w:rsidRDefault="00FC6650" w:rsidP="00D62838">
      <w:pPr>
        <w:spacing w:before="2"/>
        <w:ind w:left="525"/>
        <w:rPr>
          <w:lang w:val="fr-FR"/>
        </w:rPr>
      </w:pPr>
      <w:r w:rsidRPr="00D62838">
        <w:rPr>
          <w:lang w:val="fr-BE"/>
        </w:rPr>
        <w:t>« L'exposition aux champs électromagnétiques a considérablement augmenté.</w:t>
      </w:r>
      <w:r w:rsidR="003550D8">
        <w:rPr>
          <w:lang w:val="fr-BE"/>
        </w:rPr>
        <w:t> »</w:t>
      </w:r>
    </w:p>
    <w:p w:rsidR="00D62838" w:rsidRPr="00D62838" w:rsidRDefault="00FC6650" w:rsidP="00D62838">
      <w:pPr>
        <w:spacing w:before="2"/>
        <w:ind w:left="525"/>
        <w:rPr>
          <w:lang w:val="fr-BE"/>
        </w:rPr>
      </w:pPr>
      <w:r w:rsidRPr="00D62838">
        <w:rPr>
          <w:lang w:val="fr-BE"/>
        </w:rPr>
        <w:t>«</w:t>
      </w:r>
      <w:r w:rsidR="00D62838" w:rsidRPr="00D62838">
        <w:rPr>
          <w:lang w:val="fr-BE"/>
        </w:rPr>
        <w:t xml:space="preserve"> </w:t>
      </w:r>
      <w:r w:rsidRPr="00D62838">
        <w:rPr>
          <w:lang w:val="fr-BE"/>
        </w:rPr>
        <w:t xml:space="preserve">Les champs électromagnétiques d'intensité </w:t>
      </w:r>
      <w:r w:rsidRPr="00D62838">
        <w:rPr>
          <w:spacing w:val="-3"/>
          <w:lang w:val="fr-BE"/>
        </w:rPr>
        <w:t xml:space="preserve">faible </w:t>
      </w:r>
      <w:r w:rsidRPr="00D62838">
        <w:rPr>
          <w:lang w:val="fr-BE"/>
        </w:rPr>
        <w:t>et</w:t>
      </w:r>
      <w:r w:rsidRPr="00D62838">
        <w:rPr>
          <w:spacing w:val="-1"/>
          <w:lang w:val="fr-BE"/>
        </w:rPr>
        <w:t xml:space="preserve"> </w:t>
      </w:r>
      <w:r w:rsidRPr="00D62838">
        <w:rPr>
          <w:lang w:val="fr-BE"/>
        </w:rPr>
        <w:t>non thermique</w:t>
      </w:r>
      <w:r w:rsidRPr="00D62838">
        <w:rPr>
          <w:lang w:val="fr-BE"/>
        </w:rPr>
        <w:tab/>
      </w:r>
      <w:r w:rsidR="006A6A0A" w:rsidRPr="00D62838">
        <w:rPr>
          <w:lang w:val="fr-BE"/>
        </w:rPr>
        <w:t xml:space="preserve"> </w:t>
      </w:r>
      <w:r w:rsidRPr="00D62838">
        <w:rPr>
          <w:lang w:val="fr-BE"/>
        </w:rPr>
        <w:t>augmentent</w:t>
      </w:r>
      <w:r w:rsidR="00D62838" w:rsidRPr="00D62838">
        <w:rPr>
          <w:lang w:val="fr-BE"/>
        </w:rPr>
        <w:t xml:space="preserve"> </w:t>
      </w:r>
      <w:r w:rsidRPr="00D62838">
        <w:rPr>
          <w:lang w:val="fr-BE"/>
        </w:rPr>
        <w:t xml:space="preserve">le risque de cancer chez les </w:t>
      </w:r>
      <w:r w:rsidRPr="00D62838">
        <w:rPr>
          <w:spacing w:val="-3"/>
          <w:lang w:val="fr-BE"/>
        </w:rPr>
        <w:t xml:space="preserve">animaux </w:t>
      </w:r>
      <w:r w:rsidRPr="00D62838">
        <w:rPr>
          <w:lang w:val="fr-BE"/>
        </w:rPr>
        <w:t>et les humains. »</w:t>
      </w:r>
    </w:p>
    <w:p w:rsidR="00D62838" w:rsidRPr="00D62838" w:rsidRDefault="00FC6650" w:rsidP="00D62838">
      <w:pPr>
        <w:spacing w:before="2"/>
        <w:ind w:left="525"/>
        <w:rPr>
          <w:lang w:val="fr-BE"/>
        </w:rPr>
      </w:pPr>
      <w:r w:rsidRPr="00D62838">
        <w:rPr>
          <w:lang w:val="fr-BE"/>
        </w:rPr>
        <w:t>« Certaines personnes sont particulièrement sensibles et développent un syndrome d'électrohypersensibilité.</w:t>
      </w:r>
      <w:r w:rsidRPr="00D62838">
        <w:rPr>
          <w:spacing w:val="-3"/>
          <w:lang w:val="fr-BE"/>
        </w:rPr>
        <w:t xml:space="preserve"> </w:t>
      </w:r>
      <w:r w:rsidRPr="00D62838">
        <w:rPr>
          <w:lang w:val="fr-BE"/>
        </w:rPr>
        <w:t>»</w:t>
      </w:r>
    </w:p>
    <w:p w:rsidR="009D6B72" w:rsidRPr="00D62838" w:rsidRDefault="00FC6650" w:rsidP="00D62838">
      <w:pPr>
        <w:spacing w:before="2"/>
        <w:ind w:left="525"/>
        <w:rPr>
          <w:lang w:val="fr-BE"/>
        </w:rPr>
      </w:pPr>
      <w:r w:rsidRPr="00D62838">
        <w:rPr>
          <w:lang w:val="fr-BE"/>
        </w:rPr>
        <w:t xml:space="preserve">« Il est urgent de reconnaître les dangers associés à une exposition excessive </w:t>
      </w:r>
      <w:r w:rsidRPr="00D62838">
        <w:rPr>
          <w:spacing w:val="-14"/>
          <w:lang w:val="fr-BE"/>
        </w:rPr>
        <w:t>à</w:t>
      </w:r>
      <w:r w:rsidRPr="00D62838">
        <w:rPr>
          <w:spacing w:val="33"/>
          <w:lang w:val="fr-BE"/>
        </w:rPr>
        <w:t xml:space="preserve"> </w:t>
      </w:r>
      <w:r w:rsidRPr="00D62838">
        <w:rPr>
          <w:lang w:val="fr-BE"/>
        </w:rPr>
        <w:t>des niveaux non thermiques de champs électromagnétiques.</w:t>
      </w:r>
      <w:r w:rsidRPr="00D62838">
        <w:rPr>
          <w:spacing w:val="-2"/>
          <w:lang w:val="fr-BE"/>
        </w:rPr>
        <w:t xml:space="preserve"> </w:t>
      </w:r>
      <w:r w:rsidRPr="00D62838">
        <w:rPr>
          <w:lang w:val="fr-BE"/>
        </w:rPr>
        <w:t>»</w:t>
      </w:r>
    </w:p>
    <w:p w:rsidR="00D62838" w:rsidRDefault="00D62838" w:rsidP="007353F2">
      <w:pPr>
        <w:spacing w:before="57" w:line="290" w:lineRule="auto"/>
        <w:ind w:left="100" w:right="117"/>
        <w:jc w:val="both"/>
        <w:rPr>
          <w:lang w:val="fr-BE"/>
        </w:rPr>
      </w:pPr>
    </w:p>
    <w:p w:rsidR="007353F2" w:rsidRPr="003550D8" w:rsidRDefault="00FC6650" w:rsidP="007353F2">
      <w:pPr>
        <w:spacing w:before="57" w:line="290" w:lineRule="auto"/>
        <w:ind w:left="100" w:right="117"/>
        <w:jc w:val="both"/>
        <w:rPr>
          <w:lang w:val="fr-BE"/>
        </w:rPr>
      </w:pPr>
      <w:r w:rsidRPr="003550D8">
        <w:rPr>
          <w:lang w:val="fr-BE"/>
        </w:rPr>
        <w:t>Signé, au 1</w:t>
      </w:r>
      <w:r w:rsidRPr="003550D8">
        <w:rPr>
          <w:position w:val="10"/>
          <w:lang w:val="fr-BE"/>
        </w:rPr>
        <w:t xml:space="preserve">er </w:t>
      </w:r>
      <w:r w:rsidRPr="003550D8">
        <w:rPr>
          <w:lang w:val="fr-BE"/>
        </w:rPr>
        <w:t xml:space="preserve">mars 2019, par 53.964 médecins, scientifiques, membres d’organisations environnementales et citoyens de 168 pays, </w:t>
      </w:r>
      <w:r w:rsidRPr="003550D8">
        <w:rPr>
          <w:b/>
          <w:i/>
          <w:lang w:val="fr-BE"/>
        </w:rPr>
        <w:t xml:space="preserve">l’Appel international demandant l’arrêt du déploiement de la 5G sur Terre et dans l’espace </w:t>
      </w:r>
      <w:r w:rsidRPr="003550D8">
        <w:rPr>
          <w:b/>
          <w:lang w:val="fr-BE"/>
        </w:rPr>
        <w:t xml:space="preserve">(pièce </w:t>
      </w:r>
      <w:r w:rsidR="00365A42" w:rsidRPr="003550D8">
        <w:rPr>
          <w:b/>
          <w:lang w:val="fr-BE"/>
        </w:rPr>
        <w:t>4</w:t>
      </w:r>
      <w:r w:rsidRPr="003550D8">
        <w:rPr>
          <w:b/>
          <w:lang w:val="fr-BE"/>
        </w:rPr>
        <w:t xml:space="preserve">) </w:t>
      </w:r>
      <w:r w:rsidRPr="003550D8">
        <w:rPr>
          <w:lang w:val="fr-BE"/>
        </w:rPr>
        <w:t xml:space="preserve">recense, </w:t>
      </w:r>
      <w:r w:rsidRPr="003550D8">
        <w:rPr>
          <w:u w:val="single"/>
          <w:lang w:val="fr-BE"/>
        </w:rPr>
        <w:t>avant le dé-</w:t>
      </w:r>
      <w:r w:rsidRPr="003550D8">
        <w:rPr>
          <w:lang w:val="fr-BE"/>
        </w:rPr>
        <w:t xml:space="preserve"> </w:t>
      </w:r>
      <w:r w:rsidRPr="003550D8">
        <w:rPr>
          <w:u w:val="single"/>
          <w:lang w:val="fr-BE"/>
        </w:rPr>
        <w:t>ploiement de la 5G</w:t>
      </w:r>
      <w:r w:rsidRPr="003550D8">
        <w:rPr>
          <w:lang w:val="fr-BE"/>
        </w:rPr>
        <w:t xml:space="preserve"> :</w:t>
      </w:r>
    </w:p>
    <w:p w:rsidR="009D6B72" w:rsidRPr="003550D8" w:rsidRDefault="00FC6650" w:rsidP="00762ABF">
      <w:pPr>
        <w:pStyle w:val="Paragraphedeliste"/>
        <w:numPr>
          <w:ilvl w:val="0"/>
          <w:numId w:val="5"/>
        </w:numPr>
        <w:spacing w:before="57" w:line="290" w:lineRule="auto"/>
        <w:ind w:right="117"/>
        <w:jc w:val="both"/>
        <w:rPr>
          <w:lang w:val="fr-BE"/>
        </w:rPr>
      </w:pPr>
      <w:r w:rsidRPr="003550D8">
        <w:rPr>
          <w:lang w:val="fr-BE"/>
        </w:rPr>
        <w:t>« des dizaines de pétitions et d'appels émanant de scientifiques</w:t>
      </w:r>
      <w:r w:rsidR="007353F2" w:rsidRPr="003550D8">
        <w:rPr>
          <w:lang w:val="fr-BE"/>
        </w:rPr>
        <w:t xml:space="preserve"> </w:t>
      </w:r>
      <w:r w:rsidRPr="003550D8">
        <w:rPr>
          <w:lang w:val="fr-BE"/>
        </w:rPr>
        <w:t>de différents pays, dont l'Appel de Fribourg signé par plus de 3 000 médecins, [qui] avaient demandé l'arrêt de l'expansion de la technologie sans fil et l'adoption d'un moratoire pour toute nouvelle station de base. »</w:t>
      </w:r>
    </w:p>
    <w:p w:rsidR="009D6B72" w:rsidRPr="003550D8" w:rsidRDefault="00FC6650" w:rsidP="00762ABF">
      <w:pPr>
        <w:pStyle w:val="Paragraphedeliste"/>
        <w:numPr>
          <w:ilvl w:val="0"/>
          <w:numId w:val="5"/>
        </w:numPr>
        <w:spacing w:before="1" w:line="290" w:lineRule="auto"/>
        <w:ind w:right="117"/>
        <w:jc w:val="both"/>
        <w:rPr>
          <w:lang w:val="fr-BE"/>
        </w:rPr>
      </w:pPr>
      <w:r w:rsidRPr="003550D8">
        <w:rPr>
          <w:lang w:val="fr-BE"/>
        </w:rPr>
        <w:t>« plus de 10 000 études scientifiques publiées dans des revues dotées de comités de lecture [qui] montrent les dommages du rayonnement de radiofréquence causés à la santé humaine. »</w:t>
      </w:r>
    </w:p>
    <w:p w:rsidR="006671AF" w:rsidRPr="003550D8" w:rsidRDefault="006671AF">
      <w:pPr>
        <w:pStyle w:val="Corpsdetexte"/>
        <w:spacing w:line="268" w:lineRule="auto"/>
        <w:ind w:left="100" w:right="176"/>
        <w:rPr>
          <w:sz w:val="22"/>
          <w:szCs w:val="22"/>
          <w:lang w:val="fr-BE"/>
        </w:rPr>
      </w:pPr>
    </w:p>
    <w:p w:rsidR="009D6B72" w:rsidRPr="003550D8" w:rsidRDefault="00FC6650" w:rsidP="00C7338C">
      <w:pPr>
        <w:pStyle w:val="Corpsdetexte"/>
        <w:spacing w:line="268" w:lineRule="auto"/>
        <w:ind w:left="100" w:right="176"/>
        <w:jc w:val="both"/>
        <w:rPr>
          <w:sz w:val="22"/>
          <w:szCs w:val="22"/>
          <w:lang w:val="fr-BE"/>
        </w:rPr>
      </w:pPr>
      <w:r w:rsidRPr="003550D8">
        <w:rPr>
          <w:sz w:val="22"/>
          <w:szCs w:val="22"/>
          <w:lang w:val="fr-BE"/>
        </w:rPr>
        <w:t xml:space="preserve">Voici le préambule de cet Appel </w:t>
      </w:r>
      <w:r w:rsidR="003550D8">
        <w:rPr>
          <w:sz w:val="22"/>
          <w:szCs w:val="22"/>
          <w:lang w:val="fr-BE"/>
        </w:rPr>
        <w:t xml:space="preserve">qui est </w:t>
      </w:r>
      <w:r w:rsidRPr="003550D8">
        <w:rPr>
          <w:sz w:val="22"/>
          <w:szCs w:val="22"/>
          <w:lang w:val="fr-BE"/>
        </w:rPr>
        <w:t>adressé « à l'Organisation des Nations Unies, à l'OMS, à l'Union européenne, au Conseil de l'Europe et aux gouvernements de tous les pays » :</w:t>
      </w:r>
    </w:p>
    <w:p w:rsidR="009D6B72" w:rsidRPr="003550D8" w:rsidRDefault="009D6B72">
      <w:pPr>
        <w:pStyle w:val="Corpsdetexte"/>
        <w:spacing w:before="9"/>
        <w:rPr>
          <w:sz w:val="22"/>
          <w:szCs w:val="22"/>
          <w:lang w:val="fr-BE"/>
        </w:rPr>
      </w:pPr>
    </w:p>
    <w:p w:rsidR="009D6B72" w:rsidRPr="003550D8" w:rsidRDefault="00FC6650">
      <w:pPr>
        <w:pStyle w:val="Corpsdetexte"/>
        <w:spacing w:line="268" w:lineRule="auto"/>
        <w:ind w:left="525" w:right="117"/>
        <w:jc w:val="both"/>
        <w:rPr>
          <w:sz w:val="22"/>
          <w:szCs w:val="22"/>
          <w:lang w:val="fr-BE"/>
        </w:rPr>
      </w:pPr>
      <w:r w:rsidRPr="003550D8">
        <w:rPr>
          <w:sz w:val="22"/>
          <w:szCs w:val="22"/>
          <w:lang w:val="fr-BE"/>
        </w:rPr>
        <w:t xml:space="preserve">« Nous soussignés, médecins, scientifiques, membres d'organisations </w:t>
      </w:r>
      <w:r w:rsidRPr="003550D8">
        <w:rPr>
          <w:spacing w:val="-3"/>
          <w:sz w:val="22"/>
          <w:szCs w:val="22"/>
          <w:lang w:val="fr-BE"/>
        </w:rPr>
        <w:t xml:space="preserve">envi- </w:t>
      </w:r>
      <w:r w:rsidRPr="003550D8">
        <w:rPr>
          <w:sz w:val="22"/>
          <w:szCs w:val="22"/>
          <w:lang w:val="fr-BE"/>
        </w:rPr>
        <w:t xml:space="preserve">ronnementales et citoyens de (x) pays, demandons urgemment l’arrêt du dé- ploiement du réseau sans fil de 5G (cinquième génération) y compris depuis les satellites spatiaux. En effet, la 5G entraînera une augmentation considérable de l'exposition au rayonnement de radiofréquence, qui s'ajoutera au rayonnement induit par les réseaux de télécommunications 2G, 3G et </w:t>
      </w:r>
      <w:r w:rsidRPr="003550D8">
        <w:rPr>
          <w:spacing w:val="-7"/>
          <w:sz w:val="22"/>
          <w:szCs w:val="22"/>
          <w:lang w:val="fr-BE"/>
        </w:rPr>
        <w:t xml:space="preserve">4G </w:t>
      </w:r>
      <w:r w:rsidRPr="003550D8">
        <w:rPr>
          <w:sz w:val="22"/>
          <w:szCs w:val="22"/>
          <w:lang w:val="fr-BE"/>
        </w:rPr>
        <w:t xml:space="preserve">déjà en place. Or on a déjà la preuve des effets nocifs du rayonnement de radiofréquence pour les êtres humains et l'environnement. </w:t>
      </w:r>
      <w:r w:rsidRPr="003550D8">
        <w:rPr>
          <w:sz w:val="22"/>
          <w:szCs w:val="22"/>
          <w:u w:val="single"/>
          <w:lang w:val="fr-BE"/>
        </w:rPr>
        <w:t>Le déploiement</w:t>
      </w:r>
      <w:r w:rsidRPr="003550D8">
        <w:rPr>
          <w:sz w:val="22"/>
          <w:szCs w:val="22"/>
          <w:lang w:val="fr-BE"/>
        </w:rPr>
        <w:t xml:space="preserve"> </w:t>
      </w:r>
      <w:r w:rsidRPr="003550D8">
        <w:rPr>
          <w:sz w:val="22"/>
          <w:szCs w:val="22"/>
          <w:u w:val="single"/>
          <w:lang w:val="fr-BE"/>
        </w:rPr>
        <w:t>de la 5G revient à mener des expériences sur les êtres humains et l'environ</w:t>
      </w:r>
      <w:r w:rsidRPr="003550D8">
        <w:rPr>
          <w:spacing w:val="3"/>
          <w:sz w:val="22"/>
          <w:szCs w:val="22"/>
          <w:u w:val="single"/>
          <w:lang w:val="fr-BE"/>
        </w:rPr>
        <w:t>nement</w:t>
      </w:r>
      <w:r w:rsidRPr="003550D8">
        <w:rPr>
          <w:spacing w:val="3"/>
          <w:sz w:val="22"/>
          <w:szCs w:val="22"/>
          <w:lang w:val="fr-BE"/>
        </w:rPr>
        <w:t xml:space="preserve">, </w:t>
      </w:r>
      <w:r w:rsidRPr="003550D8">
        <w:rPr>
          <w:sz w:val="22"/>
          <w:szCs w:val="22"/>
          <w:lang w:val="fr-BE"/>
        </w:rPr>
        <w:t xml:space="preserve">ce </w:t>
      </w:r>
      <w:r w:rsidRPr="003550D8">
        <w:rPr>
          <w:spacing w:val="2"/>
          <w:sz w:val="22"/>
          <w:szCs w:val="22"/>
          <w:lang w:val="fr-BE"/>
        </w:rPr>
        <w:t xml:space="preserve">qui est </w:t>
      </w:r>
      <w:r w:rsidRPr="003550D8">
        <w:rPr>
          <w:spacing w:val="3"/>
          <w:sz w:val="22"/>
          <w:szCs w:val="22"/>
          <w:lang w:val="fr-BE"/>
        </w:rPr>
        <w:t xml:space="preserve">considéré comme </w:t>
      </w:r>
      <w:r w:rsidRPr="003550D8">
        <w:rPr>
          <w:sz w:val="22"/>
          <w:szCs w:val="22"/>
          <w:lang w:val="fr-BE"/>
        </w:rPr>
        <w:t xml:space="preserve">un </w:t>
      </w:r>
      <w:r w:rsidRPr="003550D8">
        <w:rPr>
          <w:spacing w:val="3"/>
          <w:sz w:val="22"/>
          <w:szCs w:val="22"/>
          <w:u w:val="single"/>
          <w:lang w:val="fr-BE"/>
        </w:rPr>
        <w:t>crime</w:t>
      </w:r>
      <w:r w:rsidRPr="003550D8">
        <w:rPr>
          <w:spacing w:val="3"/>
          <w:sz w:val="22"/>
          <w:szCs w:val="22"/>
          <w:lang w:val="fr-BE"/>
        </w:rPr>
        <w:t xml:space="preserve"> </w:t>
      </w:r>
      <w:r w:rsidRPr="003550D8">
        <w:rPr>
          <w:sz w:val="22"/>
          <w:szCs w:val="22"/>
          <w:lang w:val="fr-BE"/>
        </w:rPr>
        <w:t xml:space="preserve">en </w:t>
      </w:r>
      <w:r w:rsidRPr="003550D8">
        <w:rPr>
          <w:spacing w:val="3"/>
          <w:sz w:val="22"/>
          <w:szCs w:val="22"/>
          <w:lang w:val="fr-BE"/>
        </w:rPr>
        <w:t xml:space="preserve">vertu </w:t>
      </w:r>
      <w:r w:rsidRPr="003550D8">
        <w:rPr>
          <w:sz w:val="22"/>
          <w:szCs w:val="22"/>
          <w:lang w:val="fr-BE"/>
        </w:rPr>
        <w:t xml:space="preserve">du </w:t>
      </w:r>
      <w:r w:rsidRPr="003550D8">
        <w:rPr>
          <w:spacing w:val="3"/>
          <w:sz w:val="22"/>
          <w:szCs w:val="22"/>
          <w:lang w:val="fr-BE"/>
        </w:rPr>
        <w:t xml:space="preserve">droit </w:t>
      </w:r>
      <w:r w:rsidRPr="003550D8">
        <w:rPr>
          <w:sz w:val="22"/>
          <w:szCs w:val="22"/>
          <w:lang w:val="fr-BE"/>
        </w:rPr>
        <w:t>international.</w:t>
      </w:r>
      <w:r w:rsidRPr="003550D8">
        <w:rPr>
          <w:spacing w:val="-1"/>
          <w:sz w:val="22"/>
          <w:szCs w:val="22"/>
          <w:lang w:val="fr-BE"/>
        </w:rPr>
        <w:t xml:space="preserve"> </w:t>
      </w:r>
      <w:r w:rsidRPr="003550D8">
        <w:rPr>
          <w:sz w:val="22"/>
          <w:szCs w:val="22"/>
          <w:lang w:val="fr-BE"/>
        </w:rPr>
        <w:t>»</w:t>
      </w:r>
    </w:p>
    <w:p w:rsidR="00D62838" w:rsidRPr="003550D8" w:rsidRDefault="00D62838">
      <w:pPr>
        <w:pStyle w:val="Corpsdetexte"/>
        <w:spacing w:line="268" w:lineRule="auto"/>
        <w:ind w:left="525" w:right="117"/>
        <w:jc w:val="both"/>
        <w:rPr>
          <w:sz w:val="22"/>
          <w:szCs w:val="22"/>
          <w:lang w:val="fr-BE"/>
        </w:rPr>
      </w:pPr>
    </w:p>
    <w:p w:rsidR="003550D8" w:rsidRDefault="00FC6650" w:rsidP="00D62838">
      <w:pPr>
        <w:pStyle w:val="Corpsdetexte"/>
        <w:spacing w:line="268" w:lineRule="auto"/>
        <w:ind w:left="100" w:right="195"/>
        <w:jc w:val="both"/>
        <w:rPr>
          <w:sz w:val="22"/>
          <w:szCs w:val="22"/>
          <w:lang w:val="fr-BE"/>
        </w:rPr>
      </w:pPr>
      <w:r w:rsidRPr="003550D8">
        <w:rPr>
          <w:sz w:val="22"/>
          <w:szCs w:val="22"/>
          <w:lang w:val="fr-BE"/>
        </w:rPr>
        <w:t xml:space="preserve">Ayant pris la mesure </w:t>
      </w:r>
      <w:r w:rsidR="00623F3E" w:rsidRPr="003550D8">
        <w:rPr>
          <w:sz w:val="22"/>
          <w:szCs w:val="22"/>
          <w:lang w:val="fr-BE"/>
        </w:rPr>
        <w:t>du</w:t>
      </w:r>
      <w:r w:rsidRPr="003550D8">
        <w:rPr>
          <w:sz w:val="22"/>
          <w:szCs w:val="22"/>
          <w:lang w:val="fr-BE"/>
        </w:rPr>
        <w:t xml:space="preserve"> risque sanitaire, les réassureurs et assureurs ne couvrent plus, depuis 2003, les dommages corporels pouvant être causés par le rayonnement des antennes de téléphonie mobile.</w:t>
      </w:r>
      <w:r w:rsidR="00623F3E" w:rsidRPr="003550D8">
        <w:rPr>
          <w:sz w:val="22"/>
          <w:szCs w:val="22"/>
          <w:lang w:val="fr-BE"/>
        </w:rPr>
        <w:t xml:space="preserve"> </w:t>
      </w:r>
    </w:p>
    <w:p w:rsidR="006323AB" w:rsidRDefault="006323AB" w:rsidP="00D62838">
      <w:pPr>
        <w:pStyle w:val="Corpsdetexte"/>
        <w:spacing w:line="268" w:lineRule="auto"/>
        <w:ind w:left="100" w:right="195"/>
        <w:jc w:val="both"/>
        <w:rPr>
          <w:sz w:val="22"/>
          <w:szCs w:val="22"/>
          <w:lang w:val="fr-BE"/>
        </w:rPr>
      </w:pPr>
    </w:p>
    <w:p w:rsidR="009D6B72" w:rsidRPr="003550D8" w:rsidRDefault="00FC6650" w:rsidP="00D62838">
      <w:pPr>
        <w:pStyle w:val="Corpsdetexte"/>
        <w:spacing w:line="268" w:lineRule="auto"/>
        <w:ind w:left="100" w:right="195"/>
        <w:jc w:val="both"/>
        <w:rPr>
          <w:sz w:val="22"/>
          <w:szCs w:val="22"/>
          <w:lang w:val="fr-BE"/>
        </w:rPr>
      </w:pPr>
      <w:r w:rsidRPr="003550D8">
        <w:rPr>
          <w:sz w:val="22"/>
          <w:szCs w:val="22"/>
          <w:lang w:val="fr-BE"/>
        </w:rPr>
        <w:lastRenderedPageBreak/>
        <w:t>L’exclusion de couverture vaut donc pour le rayonnement non ionisant (RNI) de la téléphonie mobile comme pour le rayonnement ionisant (RI), c’est-à-dire le risque nucléaire.</w:t>
      </w:r>
    </w:p>
    <w:p w:rsidR="00956DD6" w:rsidRDefault="00956DD6" w:rsidP="00D62838">
      <w:pPr>
        <w:pStyle w:val="Corpsdetexte"/>
        <w:spacing w:line="268" w:lineRule="auto"/>
        <w:ind w:left="100" w:right="195"/>
        <w:jc w:val="both"/>
        <w:rPr>
          <w:sz w:val="22"/>
          <w:szCs w:val="22"/>
          <w:lang w:val="fr-BE"/>
        </w:rPr>
      </w:pPr>
    </w:p>
    <w:p w:rsidR="000E1B89" w:rsidRDefault="000E1B89" w:rsidP="00D62838">
      <w:pPr>
        <w:pStyle w:val="Corpsdetexte"/>
        <w:spacing w:line="268" w:lineRule="auto"/>
        <w:ind w:left="100" w:right="195"/>
        <w:jc w:val="both"/>
        <w:rPr>
          <w:sz w:val="22"/>
          <w:szCs w:val="22"/>
          <w:lang w:val="fr-BE"/>
        </w:rPr>
      </w:pPr>
    </w:p>
    <w:p w:rsidR="009D6B72" w:rsidRPr="006323AB" w:rsidRDefault="00D62838" w:rsidP="00D62838">
      <w:pPr>
        <w:pStyle w:val="Corpsdetexte"/>
        <w:spacing w:line="268" w:lineRule="auto"/>
        <w:ind w:left="100" w:right="195"/>
        <w:jc w:val="both"/>
        <w:rPr>
          <w:sz w:val="22"/>
          <w:szCs w:val="22"/>
          <w:lang w:val="fr-BE"/>
        </w:rPr>
      </w:pPr>
      <w:r w:rsidRPr="006323AB">
        <w:rPr>
          <w:sz w:val="22"/>
          <w:szCs w:val="22"/>
          <w:lang w:val="fr-BE"/>
        </w:rPr>
        <w:t>Je r</w:t>
      </w:r>
      <w:r w:rsidR="00FC6650" w:rsidRPr="006323AB">
        <w:rPr>
          <w:sz w:val="22"/>
          <w:szCs w:val="22"/>
          <w:lang w:val="fr-BE"/>
        </w:rPr>
        <w:t>equier</w:t>
      </w:r>
      <w:r w:rsidRPr="006323AB">
        <w:rPr>
          <w:sz w:val="22"/>
          <w:szCs w:val="22"/>
          <w:lang w:val="fr-BE"/>
        </w:rPr>
        <w:t>s</w:t>
      </w:r>
      <w:r w:rsidR="00FC6650" w:rsidRPr="006323AB">
        <w:rPr>
          <w:sz w:val="22"/>
          <w:szCs w:val="22"/>
          <w:lang w:val="fr-BE"/>
        </w:rPr>
        <w:t xml:space="preserve">, </w:t>
      </w:r>
      <w:r w:rsidR="00FC6650" w:rsidRPr="00B06FB5">
        <w:rPr>
          <w:sz w:val="22"/>
          <w:szCs w:val="22"/>
          <w:highlight w:val="yellow"/>
          <w:lang w:val="fr-BE"/>
        </w:rPr>
        <w:t>Monsieur le Syndic, Mesdames et Messieurs les Municipaux</w:t>
      </w:r>
      <w:r w:rsidR="00FC6650" w:rsidRPr="006323AB">
        <w:rPr>
          <w:sz w:val="22"/>
          <w:szCs w:val="22"/>
          <w:lang w:val="fr-BE"/>
        </w:rPr>
        <w:t xml:space="preserve">, qu’il vous plaise appliquer le </w:t>
      </w:r>
      <w:r w:rsidR="00FC6650" w:rsidRPr="006323AB">
        <w:rPr>
          <w:b/>
          <w:sz w:val="22"/>
          <w:szCs w:val="22"/>
          <w:lang w:val="fr-BE"/>
        </w:rPr>
        <w:t>principe de précaution</w:t>
      </w:r>
      <w:r w:rsidR="00FC6650" w:rsidRPr="006323AB">
        <w:rPr>
          <w:sz w:val="22"/>
          <w:szCs w:val="22"/>
          <w:lang w:val="fr-BE"/>
        </w:rPr>
        <w:t>, ancré dans l’art. 11 al. 2 de la Loi sur la protection de l’environnement (LPE), afin de sauvegarder la santé de vos administrés et en particulier celle des enfants.</w:t>
      </w:r>
    </w:p>
    <w:p w:rsidR="00623F3E" w:rsidRPr="006323AB" w:rsidRDefault="00623F3E">
      <w:pPr>
        <w:pStyle w:val="Corpsdetexte"/>
        <w:spacing w:before="7"/>
        <w:rPr>
          <w:sz w:val="22"/>
          <w:szCs w:val="22"/>
          <w:lang w:val="fr-BE"/>
        </w:rPr>
      </w:pPr>
    </w:p>
    <w:p w:rsidR="009D6B72" w:rsidRPr="006323AB" w:rsidRDefault="00FC6650" w:rsidP="00D62838">
      <w:pPr>
        <w:pStyle w:val="Corpsdetexte"/>
        <w:spacing w:line="268" w:lineRule="auto"/>
        <w:ind w:left="100" w:right="195"/>
        <w:jc w:val="both"/>
        <w:rPr>
          <w:sz w:val="22"/>
          <w:szCs w:val="22"/>
          <w:lang w:val="fr-BE"/>
        </w:rPr>
      </w:pPr>
      <w:r w:rsidRPr="006323AB">
        <w:rPr>
          <w:sz w:val="22"/>
          <w:szCs w:val="22"/>
          <w:lang w:val="fr-BE"/>
        </w:rPr>
        <w:t>Selon la définition la plus couramment utilisée et la plus largement admise, le principe de précaution postule qu'en cas de risque de dommages graves ou irréversibles, l'absence de certitude scientifique absolue ne doit pas servir de pré- texte pour remettre à plus tard l'adoption de mesures effectives visant à prévenir</w:t>
      </w:r>
      <w:r w:rsidR="00DB5EDD" w:rsidRPr="006323AB">
        <w:rPr>
          <w:sz w:val="22"/>
          <w:szCs w:val="22"/>
          <w:lang w:val="fr-BE"/>
        </w:rPr>
        <w:t xml:space="preserve"> </w:t>
      </w:r>
      <w:r w:rsidRPr="006323AB">
        <w:rPr>
          <w:sz w:val="22"/>
          <w:szCs w:val="22"/>
          <w:lang w:val="fr-BE"/>
        </w:rPr>
        <w:t>la dégradation de l'environnement (ATF 132 II 305 considérant 4.3 p. 320).</w:t>
      </w:r>
    </w:p>
    <w:p w:rsidR="009D6B72" w:rsidRPr="006323AB" w:rsidRDefault="009D6B72">
      <w:pPr>
        <w:pStyle w:val="Corpsdetexte"/>
        <w:spacing w:before="9"/>
        <w:rPr>
          <w:sz w:val="22"/>
          <w:szCs w:val="22"/>
          <w:lang w:val="fr-BE"/>
        </w:rPr>
      </w:pPr>
    </w:p>
    <w:p w:rsidR="00623F3E" w:rsidRPr="006323AB" w:rsidRDefault="00FC6650" w:rsidP="00D62838">
      <w:pPr>
        <w:pStyle w:val="Corpsdetexte"/>
        <w:spacing w:line="268" w:lineRule="auto"/>
        <w:ind w:left="100" w:right="195"/>
        <w:jc w:val="both"/>
        <w:rPr>
          <w:sz w:val="22"/>
          <w:szCs w:val="22"/>
          <w:lang w:val="fr-BE"/>
        </w:rPr>
      </w:pPr>
      <w:r w:rsidRPr="006323AB">
        <w:rPr>
          <w:sz w:val="22"/>
          <w:szCs w:val="22"/>
          <w:lang w:val="fr-BE"/>
        </w:rPr>
        <w:t>Or, il n’existe non seulement aucune certitude scientifique absolue garantissant l’innocuité des ondes électromagnétiques sur le Vivant (</w:t>
      </w:r>
      <w:r w:rsidR="00D62838" w:rsidRPr="006323AB">
        <w:rPr>
          <w:sz w:val="22"/>
          <w:szCs w:val="22"/>
          <w:lang w:val="fr-BE"/>
        </w:rPr>
        <w:t xml:space="preserve">i.e. les </w:t>
      </w:r>
      <w:r w:rsidRPr="006323AB">
        <w:rPr>
          <w:sz w:val="22"/>
          <w:szCs w:val="22"/>
          <w:lang w:val="fr-BE"/>
        </w:rPr>
        <w:t xml:space="preserve">humains, </w:t>
      </w:r>
      <w:r w:rsidR="00D62838" w:rsidRPr="006323AB">
        <w:rPr>
          <w:sz w:val="22"/>
          <w:szCs w:val="22"/>
          <w:lang w:val="fr-BE"/>
        </w:rPr>
        <w:t xml:space="preserve">les </w:t>
      </w:r>
      <w:r w:rsidRPr="006323AB">
        <w:rPr>
          <w:sz w:val="22"/>
          <w:szCs w:val="22"/>
          <w:lang w:val="fr-BE"/>
        </w:rPr>
        <w:t xml:space="preserve">animaux, </w:t>
      </w:r>
      <w:r w:rsidR="00D62838" w:rsidRPr="006323AB">
        <w:rPr>
          <w:sz w:val="22"/>
          <w:szCs w:val="22"/>
          <w:lang w:val="fr-BE"/>
        </w:rPr>
        <w:t xml:space="preserve">les </w:t>
      </w:r>
      <w:r w:rsidRPr="006323AB">
        <w:rPr>
          <w:sz w:val="22"/>
          <w:szCs w:val="22"/>
          <w:lang w:val="fr-BE"/>
        </w:rPr>
        <w:t>végétaux, etc.).</w:t>
      </w:r>
    </w:p>
    <w:p w:rsidR="00623F3E" w:rsidRPr="006323AB" w:rsidRDefault="00623F3E" w:rsidP="00D62838">
      <w:pPr>
        <w:pStyle w:val="Corpsdetexte"/>
        <w:spacing w:line="268" w:lineRule="auto"/>
        <w:ind w:left="100" w:right="195"/>
        <w:jc w:val="both"/>
        <w:rPr>
          <w:sz w:val="22"/>
          <w:szCs w:val="22"/>
          <w:lang w:val="fr-BE"/>
        </w:rPr>
      </w:pPr>
    </w:p>
    <w:p w:rsidR="009D6B72" w:rsidRPr="006323AB" w:rsidRDefault="00FC6650" w:rsidP="00D62838">
      <w:pPr>
        <w:pStyle w:val="Corpsdetexte"/>
        <w:spacing w:line="268" w:lineRule="auto"/>
        <w:ind w:left="100" w:right="195"/>
        <w:jc w:val="both"/>
        <w:rPr>
          <w:sz w:val="22"/>
          <w:szCs w:val="22"/>
          <w:lang w:val="fr-BE"/>
        </w:rPr>
      </w:pPr>
      <w:r w:rsidRPr="006323AB">
        <w:rPr>
          <w:sz w:val="22"/>
          <w:szCs w:val="22"/>
          <w:lang w:val="fr-BE"/>
        </w:rPr>
        <w:t>Au contraire, les études scientifiques récentes démontrent leur dangerosité, d’où une mobilisation de plus en plus importante pour enrayer leur développement à outrance.</w:t>
      </w:r>
    </w:p>
    <w:p w:rsidR="009D6B72" w:rsidRDefault="009D6B72" w:rsidP="006671AF">
      <w:pPr>
        <w:pStyle w:val="Corpsdetexte"/>
        <w:spacing w:before="7"/>
        <w:jc w:val="both"/>
        <w:rPr>
          <w:sz w:val="22"/>
          <w:szCs w:val="22"/>
          <w:lang w:val="fr-BE"/>
        </w:rPr>
      </w:pPr>
    </w:p>
    <w:p w:rsidR="000E1B89" w:rsidRPr="006323AB" w:rsidRDefault="000E1B89" w:rsidP="006671AF">
      <w:pPr>
        <w:pStyle w:val="Corpsdetexte"/>
        <w:spacing w:before="7"/>
        <w:jc w:val="both"/>
        <w:rPr>
          <w:sz w:val="22"/>
          <w:szCs w:val="22"/>
          <w:lang w:val="fr-BE"/>
        </w:rPr>
      </w:pPr>
    </w:p>
    <w:p w:rsidR="009D6B72" w:rsidRPr="006323AB" w:rsidRDefault="00FC6650" w:rsidP="00D62838">
      <w:pPr>
        <w:pStyle w:val="Corpsdetexte"/>
        <w:spacing w:line="268" w:lineRule="auto"/>
        <w:ind w:left="100" w:right="195"/>
        <w:jc w:val="both"/>
        <w:rPr>
          <w:sz w:val="22"/>
          <w:szCs w:val="22"/>
          <w:lang w:val="fr-BE"/>
        </w:rPr>
      </w:pPr>
      <w:r w:rsidRPr="006323AB">
        <w:rPr>
          <w:sz w:val="22"/>
          <w:szCs w:val="22"/>
          <w:lang w:val="fr-BE"/>
        </w:rPr>
        <w:t>C’est dire si le principe de précaution doit pleinement s’appliquer et avec la plus grande rigueur.</w:t>
      </w:r>
    </w:p>
    <w:p w:rsidR="005A414D" w:rsidRPr="006323AB" w:rsidRDefault="005A414D">
      <w:pPr>
        <w:pStyle w:val="Corpsdetexte"/>
        <w:spacing w:before="11"/>
        <w:rPr>
          <w:sz w:val="22"/>
          <w:szCs w:val="22"/>
          <w:lang w:val="fr-BE"/>
        </w:rPr>
      </w:pPr>
    </w:p>
    <w:p w:rsidR="00956DD6" w:rsidRDefault="00956DD6" w:rsidP="00623F3E">
      <w:pPr>
        <w:pStyle w:val="Corpsdetexte"/>
        <w:spacing w:line="268" w:lineRule="auto"/>
        <w:ind w:left="100" w:right="195"/>
        <w:jc w:val="both"/>
        <w:rPr>
          <w:sz w:val="22"/>
          <w:szCs w:val="22"/>
          <w:lang w:val="fr-BE"/>
        </w:rPr>
      </w:pPr>
    </w:p>
    <w:p w:rsidR="00956DD6" w:rsidRDefault="00FC6650" w:rsidP="00956DD6">
      <w:pPr>
        <w:pStyle w:val="Corpsdetexte"/>
        <w:spacing w:line="268" w:lineRule="auto"/>
        <w:ind w:left="100" w:right="195"/>
        <w:jc w:val="both"/>
        <w:rPr>
          <w:sz w:val="22"/>
          <w:szCs w:val="22"/>
          <w:lang w:val="fr-BE"/>
        </w:rPr>
      </w:pPr>
      <w:r w:rsidRPr="006323AB">
        <w:rPr>
          <w:sz w:val="22"/>
          <w:szCs w:val="22"/>
          <w:lang w:val="fr-BE"/>
        </w:rPr>
        <w:t xml:space="preserve">Vu la gravité de l’enjeu sanitaire, </w:t>
      </w:r>
      <w:r w:rsidR="005A414D" w:rsidRPr="006323AB">
        <w:rPr>
          <w:sz w:val="22"/>
          <w:szCs w:val="22"/>
          <w:u w:val="single"/>
          <w:lang w:val="fr-BE"/>
        </w:rPr>
        <w:t>je ne peux</w:t>
      </w:r>
      <w:r w:rsidRPr="006323AB">
        <w:rPr>
          <w:sz w:val="22"/>
          <w:szCs w:val="22"/>
          <w:u w:val="single"/>
          <w:lang w:val="fr-BE"/>
        </w:rPr>
        <w:t xml:space="preserve"> pas passer sous silence les informations mentionnées ci-après</w:t>
      </w:r>
      <w:r w:rsidRPr="006323AB">
        <w:rPr>
          <w:sz w:val="22"/>
          <w:szCs w:val="22"/>
          <w:lang w:val="fr-BE"/>
        </w:rPr>
        <w:t xml:space="preserve"> :</w:t>
      </w:r>
    </w:p>
    <w:p w:rsidR="00956DD6" w:rsidRDefault="00956DD6" w:rsidP="00956DD6">
      <w:pPr>
        <w:pStyle w:val="Corpsdetexte"/>
        <w:spacing w:line="268" w:lineRule="auto"/>
        <w:ind w:left="100" w:right="195"/>
        <w:jc w:val="both"/>
        <w:rPr>
          <w:sz w:val="22"/>
          <w:szCs w:val="22"/>
          <w:lang w:val="fr-BE"/>
        </w:rPr>
      </w:pPr>
    </w:p>
    <w:p w:rsidR="00956DD6" w:rsidRDefault="00FC6650" w:rsidP="00A1088C">
      <w:pPr>
        <w:pStyle w:val="Corpsdetexte"/>
        <w:numPr>
          <w:ilvl w:val="0"/>
          <w:numId w:val="10"/>
        </w:numPr>
        <w:spacing w:line="268" w:lineRule="auto"/>
        <w:ind w:right="195"/>
        <w:jc w:val="both"/>
        <w:rPr>
          <w:sz w:val="22"/>
          <w:szCs w:val="22"/>
          <w:lang w:val="fr-BE"/>
        </w:rPr>
      </w:pPr>
      <w:r w:rsidRPr="006323AB">
        <w:rPr>
          <w:sz w:val="22"/>
          <w:szCs w:val="22"/>
          <w:lang w:val="fr-BE"/>
        </w:rPr>
        <w:t xml:space="preserve">2004 : </w:t>
      </w:r>
      <w:r w:rsidRPr="006323AB">
        <w:rPr>
          <w:i/>
          <w:sz w:val="22"/>
          <w:szCs w:val="22"/>
          <w:lang w:val="fr-BE"/>
        </w:rPr>
        <w:t xml:space="preserve">« En France, une enquête a été conduite à Saint-Cyr-l’Ecole […] parce qu’en 6 ans, 4 enfants sont décédés d’un cancer du tronc cérébral, une affection très rare. Et pas moins de quatorze maladies graves ont été dénombrées aux alentours : tumeur de l’hypophyse, du cerveau, cancer des os, de la thyroïde, de la lymphe, dépression… </w:t>
      </w:r>
      <w:r w:rsidRPr="006323AB">
        <w:rPr>
          <w:b/>
          <w:i/>
          <w:sz w:val="22"/>
          <w:szCs w:val="22"/>
          <w:lang w:val="fr-BE"/>
        </w:rPr>
        <w:t xml:space="preserve">Tous les enfants victimes de cancer étaient scolarisés dans un établissement sur le toit duquel un opérateur de téléphonie mobile avait érigé deux antennes- relais. </w:t>
      </w:r>
      <w:r w:rsidRPr="006323AB">
        <w:rPr>
          <w:i/>
          <w:sz w:val="22"/>
          <w:szCs w:val="22"/>
          <w:lang w:val="fr-BE"/>
        </w:rPr>
        <w:t xml:space="preserve">» </w:t>
      </w:r>
      <w:r w:rsidRPr="006323AB">
        <w:rPr>
          <w:sz w:val="22"/>
          <w:szCs w:val="22"/>
          <w:lang w:val="fr-BE"/>
        </w:rPr>
        <w:t>(1)</w:t>
      </w:r>
    </w:p>
    <w:p w:rsidR="00956DD6" w:rsidRDefault="00956DD6" w:rsidP="00956DD6">
      <w:pPr>
        <w:pStyle w:val="Corpsdetexte"/>
        <w:spacing w:line="268" w:lineRule="auto"/>
        <w:ind w:left="100" w:right="195"/>
        <w:jc w:val="both"/>
        <w:rPr>
          <w:sz w:val="22"/>
          <w:szCs w:val="22"/>
          <w:lang w:val="fr-BE"/>
        </w:rPr>
      </w:pPr>
    </w:p>
    <w:p w:rsidR="00956DD6" w:rsidRDefault="00FC6650" w:rsidP="00A1088C">
      <w:pPr>
        <w:pStyle w:val="Corpsdetexte"/>
        <w:numPr>
          <w:ilvl w:val="0"/>
          <w:numId w:val="10"/>
        </w:numPr>
        <w:spacing w:line="268" w:lineRule="auto"/>
        <w:ind w:right="195"/>
        <w:jc w:val="both"/>
        <w:rPr>
          <w:sz w:val="22"/>
          <w:szCs w:val="22"/>
          <w:lang w:val="fr-BE"/>
        </w:rPr>
      </w:pPr>
      <w:r w:rsidRPr="00956DD6">
        <w:rPr>
          <w:i/>
          <w:sz w:val="22"/>
          <w:szCs w:val="22"/>
          <w:lang w:val="fr-BE"/>
        </w:rPr>
        <w:t xml:space="preserve">2006 : </w:t>
      </w:r>
      <w:r w:rsidRPr="00956DD6">
        <w:rPr>
          <w:sz w:val="22"/>
          <w:szCs w:val="22"/>
          <w:lang w:val="fr-BE"/>
        </w:rPr>
        <w:t>Publication</w:t>
      </w:r>
      <w:r w:rsidRPr="00956DD6">
        <w:rPr>
          <w:i/>
          <w:sz w:val="22"/>
          <w:szCs w:val="22"/>
          <w:lang w:val="fr-BE"/>
        </w:rPr>
        <w:t xml:space="preserve"> de la 3</w:t>
      </w:r>
      <w:r w:rsidR="00956DD6" w:rsidRPr="00956DD6">
        <w:rPr>
          <w:i/>
          <w:sz w:val="22"/>
          <w:szCs w:val="22"/>
          <w:vertAlign w:val="superscript"/>
          <w:lang w:val="fr-BE"/>
        </w:rPr>
        <w:t>ème</w:t>
      </w:r>
      <w:r w:rsidR="00956DD6">
        <w:rPr>
          <w:i/>
          <w:sz w:val="22"/>
          <w:szCs w:val="22"/>
          <w:lang w:val="fr-BE"/>
        </w:rPr>
        <w:t xml:space="preserve"> </w:t>
      </w:r>
      <w:r w:rsidRPr="00956DD6">
        <w:rPr>
          <w:i/>
          <w:sz w:val="22"/>
          <w:szCs w:val="22"/>
          <w:lang w:val="fr-BE"/>
        </w:rPr>
        <w:t xml:space="preserve">édition augmentée du livre </w:t>
      </w:r>
      <w:r w:rsidRPr="00956DD6">
        <w:rPr>
          <w:b/>
          <w:i/>
          <w:sz w:val="22"/>
          <w:szCs w:val="22"/>
          <w:lang w:val="fr-BE"/>
        </w:rPr>
        <w:t>«Votre</w:t>
      </w:r>
      <w:r w:rsidR="00C12C1C" w:rsidRPr="00956DD6">
        <w:rPr>
          <w:b/>
          <w:i/>
          <w:sz w:val="22"/>
          <w:szCs w:val="22"/>
          <w:lang w:val="fr-BE"/>
        </w:rPr>
        <w:t xml:space="preserve"> </w:t>
      </w:r>
      <w:r w:rsidRPr="00956DD6">
        <w:rPr>
          <w:b/>
          <w:i/>
          <w:sz w:val="22"/>
          <w:szCs w:val="22"/>
          <w:lang w:val="fr-BE"/>
        </w:rPr>
        <w:t>GSM,</w:t>
      </w:r>
      <w:r w:rsidR="00623F3E" w:rsidRPr="00956DD6">
        <w:rPr>
          <w:b/>
          <w:i/>
          <w:sz w:val="22"/>
          <w:szCs w:val="22"/>
          <w:lang w:val="fr-BE"/>
        </w:rPr>
        <w:t xml:space="preserve"> </w:t>
      </w:r>
      <w:r w:rsidRPr="00956DD6">
        <w:rPr>
          <w:b/>
          <w:i/>
          <w:sz w:val="22"/>
          <w:szCs w:val="22"/>
          <w:lang w:val="fr-BE"/>
        </w:rPr>
        <w:t xml:space="preserve">votre santé – On vous ment ! » </w:t>
      </w:r>
      <w:r w:rsidRPr="00956DD6">
        <w:rPr>
          <w:sz w:val="22"/>
          <w:szCs w:val="22"/>
          <w:lang w:val="fr-BE"/>
        </w:rPr>
        <w:t xml:space="preserve">(2), rédigé par R. Gautier, docteur en pharmacie - biologiste, P. Le Ruz, docteur en physiologie, D. Oberhausen, professeur de physique, et R. Santini, docteur ès sciences, experts </w:t>
      </w:r>
      <w:r w:rsidRPr="00956DD6">
        <w:rPr>
          <w:sz w:val="22"/>
          <w:szCs w:val="22"/>
          <w:u w:val="single"/>
          <w:lang w:val="fr-BE"/>
        </w:rPr>
        <w:t>sans conflit d’intérêts</w:t>
      </w:r>
      <w:r w:rsidRPr="00956DD6">
        <w:rPr>
          <w:sz w:val="22"/>
          <w:szCs w:val="22"/>
          <w:lang w:val="fr-BE"/>
        </w:rPr>
        <w:t>, dont voici quelques extraits :</w:t>
      </w:r>
    </w:p>
    <w:p w:rsidR="000E1B89" w:rsidRPr="000E1B89" w:rsidRDefault="000E1B89" w:rsidP="000E1B89">
      <w:pPr>
        <w:pStyle w:val="Paragraphedeliste"/>
        <w:numPr>
          <w:ilvl w:val="1"/>
          <w:numId w:val="10"/>
        </w:numPr>
        <w:spacing w:line="273" w:lineRule="exact"/>
        <w:jc w:val="both"/>
        <w:rPr>
          <w:lang w:val="fr-BE"/>
        </w:rPr>
      </w:pPr>
      <w:r w:rsidRPr="000E1B89">
        <w:rPr>
          <w:i/>
          <w:lang w:val="fr-BE"/>
        </w:rPr>
        <w:t xml:space="preserve">« Les micro-ondes ont des effets cataractogènes chez l’homme et l’animal. » </w:t>
      </w:r>
      <w:r w:rsidRPr="000E1B89">
        <w:rPr>
          <w:lang w:val="fr-BE"/>
        </w:rPr>
        <w:t>(n° 48, p. 30)</w:t>
      </w:r>
    </w:p>
    <w:p w:rsidR="000E1B89" w:rsidRPr="000E1B89" w:rsidRDefault="000E1B89" w:rsidP="000E1B89">
      <w:pPr>
        <w:pStyle w:val="Paragraphedeliste"/>
        <w:numPr>
          <w:ilvl w:val="1"/>
          <w:numId w:val="10"/>
        </w:numPr>
        <w:spacing w:line="273" w:lineRule="exact"/>
        <w:jc w:val="both"/>
        <w:rPr>
          <w:i/>
          <w:lang w:val="fr-BE"/>
        </w:rPr>
      </w:pPr>
      <w:r w:rsidRPr="000E1B89">
        <w:rPr>
          <w:i/>
          <w:lang w:val="fr-BE"/>
        </w:rPr>
        <w:t xml:space="preserve">« Dès </w:t>
      </w:r>
      <w:r w:rsidRPr="000E1B89">
        <w:rPr>
          <w:b/>
          <w:i/>
          <w:color w:val="F62408"/>
          <w:lang w:val="fr-BE"/>
        </w:rPr>
        <w:t xml:space="preserve">2 V/m </w:t>
      </w:r>
      <w:r w:rsidRPr="000E1B89">
        <w:rPr>
          <w:i/>
          <w:lang w:val="fr-BE"/>
        </w:rPr>
        <w:t>[…], des pathologies lourdes</w:t>
      </w:r>
      <w:r w:rsidRPr="000E1B89">
        <w:rPr>
          <w:b/>
          <w:i/>
          <w:lang w:val="fr-BE"/>
        </w:rPr>
        <w:t xml:space="preserve"> </w:t>
      </w:r>
      <w:r w:rsidRPr="000E1B89">
        <w:rPr>
          <w:i/>
          <w:lang w:val="fr-BE"/>
        </w:rPr>
        <w:t>sont notées. » (p. 51)</w:t>
      </w:r>
    </w:p>
    <w:p w:rsidR="000E1B89" w:rsidRPr="000E1B89" w:rsidRDefault="000E1B89" w:rsidP="000E1B89">
      <w:pPr>
        <w:pStyle w:val="Paragraphedeliste"/>
        <w:numPr>
          <w:ilvl w:val="1"/>
          <w:numId w:val="10"/>
        </w:numPr>
        <w:spacing w:line="273" w:lineRule="exact"/>
        <w:jc w:val="both"/>
        <w:rPr>
          <w:lang w:val="fr-BE"/>
        </w:rPr>
      </w:pPr>
      <w:r w:rsidRPr="000E1B89">
        <w:rPr>
          <w:i/>
          <w:lang w:val="fr-BE"/>
        </w:rPr>
        <w:t xml:space="preserve">« Depuis 2002, le consensus semble total sur l’acceptation des effets des champs électromagnétiques pulsés de la téléphonie mobile sur l’activité électrique cérébrale mesurée par EEG. » </w:t>
      </w:r>
      <w:r w:rsidRPr="000E1B89">
        <w:rPr>
          <w:lang w:val="fr-BE"/>
        </w:rPr>
        <w:t>(p. 72)</w:t>
      </w:r>
    </w:p>
    <w:p w:rsidR="000E1B89" w:rsidRPr="000E1B89" w:rsidRDefault="000E1B89" w:rsidP="000E1B89">
      <w:pPr>
        <w:pStyle w:val="Paragraphedeliste"/>
        <w:numPr>
          <w:ilvl w:val="1"/>
          <w:numId w:val="10"/>
        </w:numPr>
        <w:spacing w:line="268" w:lineRule="auto"/>
        <w:ind w:right="135"/>
        <w:jc w:val="both"/>
        <w:rPr>
          <w:lang w:val="fr-BE"/>
        </w:rPr>
      </w:pPr>
      <w:r w:rsidRPr="000E1B89">
        <w:rPr>
          <w:i/>
          <w:lang w:val="fr-BE"/>
        </w:rPr>
        <w:lastRenderedPageBreak/>
        <w:t>« Les champs électromagnétiques</w:t>
      </w:r>
      <w:r>
        <w:rPr>
          <w:i/>
          <w:lang w:val="fr-BE"/>
        </w:rPr>
        <w:t xml:space="preserve"> […] </w:t>
      </w:r>
      <w:r w:rsidRPr="000E1B89">
        <w:rPr>
          <w:i/>
          <w:lang w:val="fr-BE"/>
        </w:rPr>
        <w:t xml:space="preserve">tels ceux de la téléphonie mobile, sont démontrés comme capables de déclencher des crises d’épilepsie. » </w:t>
      </w:r>
      <w:r w:rsidRPr="000E1B89">
        <w:rPr>
          <w:lang w:val="fr-BE"/>
        </w:rPr>
        <w:t>(p. 100)</w:t>
      </w:r>
    </w:p>
    <w:p w:rsidR="009D6B72" w:rsidRPr="006323AB" w:rsidRDefault="009D6B72" w:rsidP="000E1B89">
      <w:pPr>
        <w:spacing w:line="268" w:lineRule="auto"/>
        <w:jc w:val="both"/>
        <w:rPr>
          <w:lang w:val="fr-BE"/>
        </w:rPr>
      </w:pPr>
    </w:p>
    <w:p w:rsidR="000E1B89" w:rsidRPr="000E1B89" w:rsidRDefault="00FC6650" w:rsidP="00956DD6">
      <w:pPr>
        <w:pStyle w:val="Corpsdetexte"/>
        <w:numPr>
          <w:ilvl w:val="0"/>
          <w:numId w:val="10"/>
        </w:numPr>
        <w:spacing w:before="1" w:line="268" w:lineRule="auto"/>
        <w:ind w:left="820" w:right="148"/>
        <w:jc w:val="both"/>
        <w:rPr>
          <w:lang w:val="fr-BE"/>
        </w:rPr>
      </w:pPr>
      <w:r w:rsidRPr="000E1B89">
        <w:rPr>
          <w:sz w:val="22"/>
          <w:szCs w:val="22"/>
          <w:lang w:val="fr-BE"/>
        </w:rPr>
        <w:t xml:space="preserve">2017 : </w:t>
      </w:r>
      <w:r w:rsidRPr="000E1B89">
        <w:rPr>
          <w:i/>
          <w:sz w:val="22"/>
          <w:szCs w:val="22"/>
          <w:lang w:val="fr-BE"/>
        </w:rPr>
        <w:t>« L’exposition</w:t>
      </w:r>
      <w:r w:rsidRPr="000E1B89">
        <w:rPr>
          <w:b/>
          <w:i/>
          <w:sz w:val="22"/>
          <w:szCs w:val="22"/>
          <w:lang w:val="fr-BE"/>
        </w:rPr>
        <w:t xml:space="preserve"> chronique à faible dose aux rayonnements de la téléphonie mobile endommage l’ADN des riverains d’antennes-relais. </w:t>
      </w:r>
      <w:r w:rsidRPr="000E1B89">
        <w:rPr>
          <w:i/>
          <w:sz w:val="22"/>
          <w:szCs w:val="22"/>
          <w:lang w:val="fr-BE"/>
        </w:rPr>
        <w:t xml:space="preserve">Publiée dans une revue scientifique à comité de lecture, une étude novatrice, menée par une équipe de chercheurs indiens, vient conforter la thèse de l’existence d’effets de l’exposition chronique aux radiofréquences à faible dose. […] L’exposition moyenne du groupe exposé s’élève à </w:t>
      </w:r>
      <w:r w:rsidRPr="000E1B89">
        <w:rPr>
          <w:b/>
          <w:i/>
          <w:color w:val="F62408"/>
          <w:sz w:val="22"/>
          <w:szCs w:val="22"/>
          <w:lang w:val="fr-BE"/>
        </w:rPr>
        <w:t xml:space="preserve">1,37 V/m </w:t>
      </w:r>
      <w:r w:rsidRPr="000E1B89">
        <w:rPr>
          <w:i/>
          <w:sz w:val="22"/>
          <w:szCs w:val="22"/>
          <w:lang w:val="fr-BE"/>
        </w:rPr>
        <w:t xml:space="preserve">et les expositions les plus élevées ne dépassent pas 1,7 V/m […]. La persistance d’ADN non réparés entraîne une instabilité génomique qui peut évoluer vers des </w:t>
      </w:r>
      <w:r w:rsidRPr="000E1B89">
        <w:rPr>
          <w:b/>
          <w:i/>
          <w:sz w:val="22"/>
          <w:szCs w:val="22"/>
          <w:lang w:val="fr-BE"/>
        </w:rPr>
        <w:t>maladies incluant l’induction de cancer</w:t>
      </w:r>
      <w:r w:rsidRPr="000E1B89">
        <w:rPr>
          <w:i/>
          <w:sz w:val="22"/>
          <w:szCs w:val="22"/>
          <w:lang w:val="fr-BE"/>
        </w:rPr>
        <w:t xml:space="preserve">. » </w:t>
      </w:r>
      <w:r w:rsidRPr="000E1B89">
        <w:rPr>
          <w:sz w:val="22"/>
          <w:szCs w:val="22"/>
          <w:lang w:val="fr-BE"/>
        </w:rPr>
        <w:t>(3)</w:t>
      </w:r>
    </w:p>
    <w:p w:rsidR="000E1B89" w:rsidRPr="000E1B89" w:rsidRDefault="000E1B89" w:rsidP="000E1B89">
      <w:pPr>
        <w:pStyle w:val="Corpsdetexte"/>
        <w:spacing w:before="1" w:line="268" w:lineRule="auto"/>
        <w:ind w:left="460" w:right="148"/>
        <w:jc w:val="both"/>
        <w:rPr>
          <w:lang w:val="fr-BE"/>
        </w:rPr>
      </w:pPr>
    </w:p>
    <w:p w:rsidR="00956DD6" w:rsidRPr="000E1B89" w:rsidRDefault="00FC6650" w:rsidP="00956DD6">
      <w:pPr>
        <w:pStyle w:val="Corpsdetexte"/>
        <w:numPr>
          <w:ilvl w:val="0"/>
          <w:numId w:val="10"/>
        </w:numPr>
        <w:spacing w:before="1" w:line="268" w:lineRule="auto"/>
        <w:ind w:left="820" w:right="148"/>
        <w:jc w:val="both"/>
        <w:rPr>
          <w:lang w:val="fr-BE"/>
        </w:rPr>
      </w:pPr>
      <w:r w:rsidRPr="000E1B89">
        <w:rPr>
          <w:sz w:val="22"/>
          <w:szCs w:val="22"/>
          <w:lang w:val="fr-BE"/>
        </w:rPr>
        <w:t xml:space="preserve">Mars 2018 : </w:t>
      </w:r>
      <w:r w:rsidRPr="000E1B89">
        <w:rPr>
          <w:i/>
          <w:sz w:val="22"/>
          <w:szCs w:val="22"/>
          <w:lang w:val="fr-BE"/>
        </w:rPr>
        <w:t xml:space="preserve">« </w:t>
      </w:r>
      <w:r w:rsidRPr="000E1B89">
        <w:rPr>
          <w:sz w:val="22"/>
          <w:szCs w:val="22"/>
          <w:lang w:val="fr-BE"/>
        </w:rPr>
        <w:t>L’incidence</w:t>
      </w:r>
      <w:r w:rsidRPr="000E1B89">
        <w:rPr>
          <w:i/>
          <w:sz w:val="22"/>
          <w:szCs w:val="22"/>
          <w:lang w:val="fr-BE"/>
        </w:rPr>
        <w:t xml:space="preserve"> du glioblastome multiforme (GBM), </w:t>
      </w:r>
      <w:r w:rsidRPr="000E1B89">
        <w:rPr>
          <w:b/>
          <w:i/>
          <w:sz w:val="22"/>
          <w:szCs w:val="22"/>
          <w:lang w:val="fr-BE"/>
        </w:rPr>
        <w:t>l’une des tumeurs les plus mortelles, a plus que doublé en Angleterre entre 1995 et 2015</w:t>
      </w:r>
      <w:r w:rsidRPr="000E1B89">
        <w:rPr>
          <w:i/>
          <w:sz w:val="22"/>
          <w:szCs w:val="22"/>
          <w:lang w:val="fr-BE"/>
        </w:rPr>
        <w:t>, selon une analyse récente des statistiques nationales. Pen- dant cette période, le nombre de ces tumeurs est passé de 983 à</w:t>
      </w:r>
      <w:r w:rsidR="00956DD6" w:rsidRPr="000E1B89">
        <w:rPr>
          <w:i/>
          <w:lang w:val="fr-BE"/>
        </w:rPr>
        <w:t xml:space="preserve"> </w:t>
      </w:r>
      <w:r w:rsidRPr="000E1B89">
        <w:rPr>
          <w:i/>
          <w:sz w:val="22"/>
          <w:szCs w:val="22"/>
          <w:lang w:val="fr-BE"/>
        </w:rPr>
        <w:t xml:space="preserve">2.531. » </w:t>
      </w:r>
      <w:r w:rsidRPr="000E1B89">
        <w:rPr>
          <w:sz w:val="22"/>
          <w:szCs w:val="22"/>
          <w:lang w:val="fr-BE"/>
        </w:rPr>
        <w:t>(4)</w:t>
      </w:r>
    </w:p>
    <w:p w:rsidR="000E1B89" w:rsidRDefault="000E1B89" w:rsidP="000E1B89">
      <w:pPr>
        <w:pStyle w:val="Paragraphedeliste"/>
        <w:rPr>
          <w:lang w:val="fr-BE"/>
        </w:rPr>
      </w:pPr>
    </w:p>
    <w:p w:rsidR="00956DD6" w:rsidRDefault="00956DD6" w:rsidP="00956DD6">
      <w:pPr>
        <w:spacing w:line="268" w:lineRule="auto"/>
        <w:ind w:left="820" w:right="148"/>
        <w:jc w:val="both"/>
        <w:rPr>
          <w:lang w:val="fr-BE"/>
        </w:rPr>
      </w:pPr>
    </w:p>
    <w:p w:rsidR="009D6B72" w:rsidRPr="006323AB" w:rsidRDefault="00FC6650" w:rsidP="00623F3E">
      <w:pPr>
        <w:pStyle w:val="Corpsdetexte"/>
        <w:spacing w:line="268" w:lineRule="auto"/>
        <w:ind w:left="100" w:right="255"/>
        <w:jc w:val="both"/>
        <w:rPr>
          <w:b/>
          <w:sz w:val="22"/>
          <w:szCs w:val="22"/>
          <w:lang w:val="fr-BE"/>
        </w:rPr>
      </w:pPr>
      <w:r w:rsidRPr="006323AB">
        <w:rPr>
          <w:sz w:val="22"/>
          <w:szCs w:val="22"/>
          <w:lang w:val="fr-BE"/>
        </w:rPr>
        <w:t xml:space="preserve">Composée de médecins et scientifiques </w:t>
      </w:r>
      <w:r w:rsidRPr="006323AB">
        <w:rPr>
          <w:sz w:val="22"/>
          <w:szCs w:val="22"/>
          <w:u w:val="single"/>
          <w:lang w:val="fr-BE"/>
        </w:rPr>
        <w:t>sans conflit d’intérêts</w:t>
      </w:r>
      <w:r w:rsidRPr="006323AB">
        <w:rPr>
          <w:sz w:val="22"/>
          <w:szCs w:val="22"/>
          <w:lang w:val="fr-BE"/>
        </w:rPr>
        <w:t xml:space="preserve">, l’Académie euro- péenne de médecine environnementale, </w:t>
      </w:r>
      <w:r w:rsidRPr="006323AB">
        <w:rPr>
          <w:b/>
          <w:sz w:val="22"/>
          <w:szCs w:val="22"/>
          <w:lang w:val="fr-BE"/>
        </w:rPr>
        <w:t>EUROPAEM</w:t>
      </w:r>
      <w:r w:rsidRPr="006323AB">
        <w:rPr>
          <w:sz w:val="22"/>
          <w:szCs w:val="22"/>
          <w:lang w:val="fr-BE"/>
        </w:rPr>
        <w:t xml:space="preserve">, recommande, dans ses lignes directrices 2016 </w:t>
      </w:r>
      <w:r w:rsidRPr="006323AB">
        <w:rPr>
          <w:b/>
          <w:sz w:val="22"/>
          <w:szCs w:val="22"/>
          <w:lang w:val="fr-BE"/>
        </w:rPr>
        <w:t xml:space="preserve">(pièce </w:t>
      </w:r>
      <w:r w:rsidR="00365A42" w:rsidRPr="006323AB">
        <w:rPr>
          <w:b/>
          <w:sz w:val="22"/>
          <w:szCs w:val="22"/>
          <w:lang w:val="fr-BE"/>
        </w:rPr>
        <w:t>5</w:t>
      </w:r>
      <w:r w:rsidRPr="006323AB">
        <w:rPr>
          <w:b/>
          <w:sz w:val="22"/>
          <w:szCs w:val="22"/>
          <w:lang w:val="fr-BE"/>
        </w:rPr>
        <w:t xml:space="preserve">) </w:t>
      </w:r>
      <w:r w:rsidRPr="006323AB">
        <w:rPr>
          <w:sz w:val="22"/>
          <w:szCs w:val="22"/>
          <w:lang w:val="fr-BE"/>
        </w:rPr>
        <w:t xml:space="preserve">(5), pour les sources de radiofréquences de GSM (2G), d’UMTS (3G) et de LTE (4G), une </w:t>
      </w:r>
      <w:r w:rsidRPr="006323AB">
        <w:rPr>
          <w:b/>
          <w:sz w:val="22"/>
          <w:szCs w:val="22"/>
          <w:lang w:val="fr-BE"/>
        </w:rPr>
        <w:t>exposition maximale de :</w:t>
      </w:r>
    </w:p>
    <w:p w:rsidR="009D6B72" w:rsidRPr="006323AB" w:rsidRDefault="009D6B72">
      <w:pPr>
        <w:pStyle w:val="Corpsdetexte"/>
        <w:spacing w:before="10"/>
        <w:rPr>
          <w:b/>
          <w:sz w:val="22"/>
          <w:szCs w:val="22"/>
          <w:lang w:val="fr-BE"/>
        </w:rPr>
      </w:pPr>
    </w:p>
    <w:p w:rsidR="009D6B72" w:rsidRPr="006323AB" w:rsidRDefault="00FC6650">
      <w:pPr>
        <w:pStyle w:val="Paragraphedeliste"/>
        <w:numPr>
          <w:ilvl w:val="0"/>
          <w:numId w:val="3"/>
        </w:numPr>
        <w:tabs>
          <w:tab w:val="left" w:pos="2259"/>
          <w:tab w:val="left" w:pos="2260"/>
        </w:tabs>
        <w:rPr>
          <w:lang w:val="fr-BE"/>
        </w:rPr>
      </w:pPr>
      <w:r w:rsidRPr="006323AB">
        <w:rPr>
          <w:b/>
          <w:color w:val="19962E"/>
          <w:lang w:val="fr-BE"/>
        </w:rPr>
        <w:t xml:space="preserve">0,2 V/m </w:t>
      </w:r>
      <w:r w:rsidRPr="006323AB">
        <w:rPr>
          <w:b/>
          <w:lang w:val="fr-BE"/>
        </w:rPr>
        <w:t xml:space="preserve">le jour </w:t>
      </w:r>
      <w:r w:rsidRPr="006323AB">
        <w:rPr>
          <w:lang w:val="fr-BE"/>
        </w:rPr>
        <w:t>(100</w:t>
      </w:r>
      <w:r w:rsidRPr="006323AB">
        <w:rPr>
          <w:spacing w:val="-4"/>
          <w:lang w:val="fr-BE"/>
        </w:rPr>
        <w:t xml:space="preserve"> </w:t>
      </w:r>
      <w:r w:rsidRPr="006323AB">
        <w:rPr>
          <w:lang w:val="fr-BE"/>
        </w:rPr>
        <w:t>µW/m</w:t>
      </w:r>
      <w:r w:rsidRPr="006323AB">
        <w:rPr>
          <w:position w:val="12"/>
          <w:lang w:val="fr-BE"/>
        </w:rPr>
        <w:t>2</w:t>
      </w:r>
      <w:r w:rsidRPr="006323AB">
        <w:rPr>
          <w:lang w:val="fr-BE"/>
        </w:rPr>
        <w:t>),</w:t>
      </w:r>
    </w:p>
    <w:p w:rsidR="009D6B72" w:rsidRPr="006323AB" w:rsidRDefault="00FC6650">
      <w:pPr>
        <w:pStyle w:val="Paragraphedeliste"/>
        <w:numPr>
          <w:ilvl w:val="0"/>
          <w:numId w:val="3"/>
        </w:numPr>
        <w:tabs>
          <w:tab w:val="left" w:pos="2259"/>
          <w:tab w:val="left" w:pos="2260"/>
        </w:tabs>
        <w:spacing w:before="12"/>
        <w:rPr>
          <w:lang w:val="fr-BE"/>
        </w:rPr>
      </w:pPr>
      <w:r w:rsidRPr="006323AB">
        <w:rPr>
          <w:b/>
          <w:color w:val="19962E"/>
          <w:lang w:val="fr-BE"/>
        </w:rPr>
        <w:t xml:space="preserve">0,06 V/m </w:t>
      </w:r>
      <w:r w:rsidRPr="006323AB">
        <w:rPr>
          <w:b/>
          <w:lang w:val="fr-BE"/>
        </w:rPr>
        <w:t xml:space="preserve">la nuit </w:t>
      </w:r>
      <w:r w:rsidRPr="006323AB">
        <w:rPr>
          <w:lang w:val="fr-BE"/>
        </w:rPr>
        <w:t>(10</w:t>
      </w:r>
      <w:r w:rsidRPr="006323AB">
        <w:rPr>
          <w:spacing w:val="-4"/>
          <w:lang w:val="fr-BE"/>
        </w:rPr>
        <w:t xml:space="preserve"> </w:t>
      </w:r>
      <w:r w:rsidRPr="006323AB">
        <w:rPr>
          <w:lang w:val="fr-BE"/>
        </w:rPr>
        <w:t>µW/m</w:t>
      </w:r>
      <w:r w:rsidRPr="006323AB">
        <w:rPr>
          <w:position w:val="12"/>
          <w:lang w:val="fr-BE"/>
        </w:rPr>
        <w:t>2</w:t>
      </w:r>
      <w:r w:rsidRPr="006323AB">
        <w:rPr>
          <w:lang w:val="fr-BE"/>
        </w:rPr>
        <w:t>),</w:t>
      </w:r>
    </w:p>
    <w:p w:rsidR="009D6B72" w:rsidRPr="006323AB" w:rsidRDefault="00FC6650">
      <w:pPr>
        <w:pStyle w:val="Paragraphedeliste"/>
        <w:numPr>
          <w:ilvl w:val="0"/>
          <w:numId w:val="3"/>
        </w:numPr>
        <w:tabs>
          <w:tab w:val="left" w:pos="2259"/>
          <w:tab w:val="left" w:pos="2260"/>
        </w:tabs>
        <w:spacing w:before="12"/>
        <w:rPr>
          <w:lang w:val="fr-BE"/>
        </w:rPr>
      </w:pPr>
      <w:r w:rsidRPr="006323AB">
        <w:rPr>
          <w:b/>
          <w:color w:val="19962E"/>
          <w:lang w:val="fr-BE"/>
        </w:rPr>
        <w:t xml:space="preserve">0,02 V/m </w:t>
      </w:r>
      <w:r w:rsidRPr="006323AB">
        <w:rPr>
          <w:b/>
          <w:lang w:val="fr-BE"/>
        </w:rPr>
        <w:t xml:space="preserve">pour les sujets sensibles </w:t>
      </w:r>
      <w:r w:rsidRPr="006323AB">
        <w:rPr>
          <w:lang w:val="fr-BE"/>
        </w:rPr>
        <w:t>(1</w:t>
      </w:r>
      <w:r w:rsidRPr="006323AB">
        <w:rPr>
          <w:spacing w:val="-2"/>
          <w:lang w:val="fr-BE"/>
        </w:rPr>
        <w:t xml:space="preserve"> </w:t>
      </w:r>
      <w:r w:rsidRPr="006323AB">
        <w:rPr>
          <w:lang w:val="fr-BE"/>
        </w:rPr>
        <w:t>µW/m</w:t>
      </w:r>
      <w:r w:rsidRPr="006323AB">
        <w:rPr>
          <w:position w:val="12"/>
          <w:lang w:val="fr-BE"/>
        </w:rPr>
        <w:t>2</w:t>
      </w:r>
      <w:r w:rsidRPr="006323AB">
        <w:rPr>
          <w:lang w:val="fr-BE"/>
        </w:rPr>
        <w:t>).</w:t>
      </w:r>
    </w:p>
    <w:p w:rsidR="009D6B72" w:rsidRPr="006323AB" w:rsidRDefault="00FC6650" w:rsidP="00595676">
      <w:pPr>
        <w:pStyle w:val="Corpsdetexte"/>
        <w:spacing w:before="332" w:line="268" w:lineRule="auto"/>
        <w:ind w:left="100" w:right="228"/>
        <w:jc w:val="both"/>
        <w:rPr>
          <w:sz w:val="22"/>
          <w:szCs w:val="22"/>
          <w:lang w:val="fr-BE"/>
        </w:rPr>
      </w:pPr>
      <w:r w:rsidRPr="006323AB">
        <w:rPr>
          <w:sz w:val="22"/>
          <w:szCs w:val="22"/>
          <w:lang w:val="fr-BE"/>
        </w:rPr>
        <w:t xml:space="preserve">Il suffit de comparer les valeurs recommandées par l’EUROPAEM aux </w:t>
      </w:r>
      <w:r w:rsidRPr="006323AB">
        <w:rPr>
          <w:b/>
          <w:color w:val="F62408"/>
          <w:sz w:val="22"/>
          <w:szCs w:val="22"/>
          <w:lang w:val="fr-BE"/>
        </w:rPr>
        <w:t xml:space="preserve">5 volts par mètre </w:t>
      </w:r>
      <w:r w:rsidRPr="006323AB">
        <w:rPr>
          <w:sz w:val="22"/>
          <w:szCs w:val="22"/>
          <w:lang w:val="fr-BE"/>
        </w:rPr>
        <w:t xml:space="preserve">autorisés en l’espèce par l’ORNI pour comprendre qu’une telle </w:t>
      </w:r>
      <w:r w:rsidRPr="006323AB">
        <w:rPr>
          <w:i/>
          <w:sz w:val="22"/>
          <w:szCs w:val="22"/>
          <w:lang w:val="fr-BE"/>
        </w:rPr>
        <w:t>valeur limite</w:t>
      </w:r>
      <w:r w:rsidRPr="006323AB">
        <w:rPr>
          <w:sz w:val="22"/>
          <w:szCs w:val="22"/>
          <w:lang w:val="fr-BE"/>
        </w:rPr>
        <w:t xml:space="preserve">, est obsolète et ne permet pas de sauvegarder la santé de la population puisqu’elle est environ </w:t>
      </w:r>
      <w:r w:rsidRPr="006323AB">
        <w:rPr>
          <w:sz w:val="22"/>
          <w:szCs w:val="22"/>
          <w:u w:val="single"/>
          <w:lang w:val="fr-BE"/>
        </w:rPr>
        <w:t>de 25 à 250 fois trop élevée</w:t>
      </w:r>
      <w:r w:rsidRPr="006323AB">
        <w:rPr>
          <w:sz w:val="22"/>
          <w:szCs w:val="22"/>
          <w:lang w:val="fr-BE"/>
        </w:rPr>
        <w:t>.</w:t>
      </w:r>
    </w:p>
    <w:p w:rsidR="009D6B72" w:rsidRPr="006323AB" w:rsidRDefault="00FC6650" w:rsidP="005A414D">
      <w:pPr>
        <w:pStyle w:val="Corpsdetexte"/>
        <w:spacing w:before="332" w:line="268" w:lineRule="auto"/>
        <w:ind w:left="100" w:right="228"/>
        <w:jc w:val="both"/>
        <w:rPr>
          <w:sz w:val="22"/>
          <w:szCs w:val="22"/>
          <w:lang w:val="fr-BE"/>
        </w:rPr>
      </w:pPr>
      <w:r w:rsidRPr="006323AB">
        <w:rPr>
          <w:sz w:val="22"/>
          <w:szCs w:val="22"/>
          <w:lang w:val="fr-BE"/>
        </w:rPr>
        <w:t>En plus des graves risques sanitaires, l’installation contestée serait susceptible</w:t>
      </w:r>
      <w:r w:rsidR="00595676" w:rsidRPr="006323AB">
        <w:rPr>
          <w:sz w:val="22"/>
          <w:szCs w:val="22"/>
          <w:lang w:val="fr-BE"/>
        </w:rPr>
        <w:t xml:space="preserve"> </w:t>
      </w:r>
      <w:r w:rsidRPr="006323AB">
        <w:rPr>
          <w:sz w:val="22"/>
          <w:szCs w:val="22"/>
          <w:lang w:val="fr-BE"/>
        </w:rPr>
        <w:t>de causer un préjudice esthétique et de très lourdes moins-values immobilières. Dans la proximité de telles antennes, les prix de vente des maisons et appartements chutent.</w:t>
      </w:r>
    </w:p>
    <w:p w:rsidR="009D6B72" w:rsidRPr="006323AB" w:rsidRDefault="00FC6650" w:rsidP="005A414D">
      <w:pPr>
        <w:pStyle w:val="Corpsdetexte"/>
        <w:spacing w:before="332" w:line="268" w:lineRule="auto"/>
        <w:ind w:left="100" w:right="228"/>
        <w:jc w:val="both"/>
        <w:rPr>
          <w:sz w:val="22"/>
          <w:szCs w:val="22"/>
          <w:lang w:val="fr-BE"/>
        </w:rPr>
      </w:pPr>
      <w:r w:rsidRPr="006323AB">
        <w:rPr>
          <w:sz w:val="22"/>
          <w:szCs w:val="22"/>
          <w:lang w:val="fr-BE"/>
        </w:rPr>
        <w:t xml:space="preserve">Au vu de ce qui précède, </w:t>
      </w:r>
      <w:r w:rsidR="005A414D" w:rsidRPr="006323AB">
        <w:rPr>
          <w:sz w:val="22"/>
          <w:szCs w:val="22"/>
          <w:lang w:val="fr-BE"/>
        </w:rPr>
        <w:t xml:space="preserve">je vous demande </w:t>
      </w:r>
      <w:r w:rsidRPr="006323AB">
        <w:rPr>
          <w:sz w:val="22"/>
          <w:szCs w:val="22"/>
          <w:lang w:val="fr-BE"/>
        </w:rPr>
        <w:t>de</w:t>
      </w:r>
      <w:r w:rsidR="00595676" w:rsidRPr="006323AB">
        <w:rPr>
          <w:sz w:val="22"/>
          <w:szCs w:val="22"/>
          <w:lang w:val="fr-BE"/>
        </w:rPr>
        <w:t xml:space="preserve"> </w:t>
      </w:r>
      <w:r w:rsidR="00595676" w:rsidRPr="006323AB">
        <w:rPr>
          <w:b/>
          <w:sz w:val="22"/>
          <w:szCs w:val="22"/>
          <w:lang w:val="fr-BE"/>
        </w:rPr>
        <w:t>ne pas</w:t>
      </w:r>
      <w:r w:rsidR="00595676" w:rsidRPr="006323AB">
        <w:rPr>
          <w:sz w:val="22"/>
          <w:szCs w:val="22"/>
          <w:lang w:val="fr-BE"/>
        </w:rPr>
        <w:t xml:space="preserve"> délivrer le p</w:t>
      </w:r>
      <w:r w:rsidRPr="006323AB">
        <w:rPr>
          <w:sz w:val="22"/>
          <w:szCs w:val="22"/>
          <w:lang w:val="fr-BE"/>
        </w:rPr>
        <w:t>ermis de construire.</w:t>
      </w:r>
    </w:p>
    <w:p w:rsidR="009D6B72" w:rsidRPr="006323AB" w:rsidRDefault="00FC6650" w:rsidP="00623F3E">
      <w:pPr>
        <w:pStyle w:val="Corpsdetexte"/>
        <w:spacing w:before="332" w:line="268" w:lineRule="auto"/>
        <w:ind w:left="100" w:right="228"/>
        <w:jc w:val="both"/>
        <w:rPr>
          <w:sz w:val="22"/>
          <w:szCs w:val="22"/>
          <w:lang w:val="fr-BE"/>
        </w:rPr>
      </w:pPr>
      <w:r w:rsidRPr="006323AB">
        <w:rPr>
          <w:sz w:val="22"/>
          <w:szCs w:val="22"/>
          <w:lang w:val="fr-BE"/>
        </w:rPr>
        <w:t xml:space="preserve">Veuillez agréer, </w:t>
      </w:r>
      <w:r w:rsidRPr="00B06FB5">
        <w:rPr>
          <w:sz w:val="22"/>
          <w:szCs w:val="22"/>
          <w:highlight w:val="yellow"/>
          <w:lang w:val="fr-BE"/>
        </w:rPr>
        <w:t>Monsieur le Syndic, Mesdames et Messieurs les Municipaux</w:t>
      </w:r>
      <w:r w:rsidRPr="006323AB">
        <w:rPr>
          <w:sz w:val="22"/>
          <w:szCs w:val="22"/>
          <w:lang w:val="fr-BE"/>
        </w:rPr>
        <w:t xml:space="preserve">, l'assurance de </w:t>
      </w:r>
      <w:r w:rsidR="005A414D" w:rsidRPr="006323AB">
        <w:rPr>
          <w:sz w:val="22"/>
          <w:szCs w:val="22"/>
          <w:lang w:val="fr-BE"/>
        </w:rPr>
        <w:t>mes</w:t>
      </w:r>
      <w:r w:rsidRPr="006323AB">
        <w:rPr>
          <w:sz w:val="22"/>
          <w:szCs w:val="22"/>
          <w:lang w:val="fr-BE"/>
        </w:rPr>
        <w:t xml:space="preserve"> sentiments distingués.</w:t>
      </w:r>
    </w:p>
    <w:p w:rsidR="009D6B72" w:rsidRPr="006323AB" w:rsidRDefault="009D6B72">
      <w:pPr>
        <w:pStyle w:val="Corpsdetexte"/>
        <w:spacing w:before="11"/>
        <w:rPr>
          <w:sz w:val="22"/>
          <w:szCs w:val="22"/>
          <w:lang w:val="fr-BE"/>
        </w:rPr>
      </w:pPr>
    </w:p>
    <w:p w:rsidR="00B06FB5" w:rsidRDefault="00B06FB5" w:rsidP="00595676">
      <w:pPr>
        <w:pStyle w:val="Corpsdetexte"/>
        <w:tabs>
          <w:tab w:val="left" w:pos="5140"/>
        </w:tabs>
        <w:spacing w:line="268" w:lineRule="auto"/>
        <w:ind w:left="100" w:right="956"/>
        <w:rPr>
          <w:sz w:val="22"/>
          <w:szCs w:val="22"/>
          <w:highlight w:val="yellow"/>
          <w:lang w:val="fr-BE"/>
        </w:rPr>
      </w:pPr>
      <w:r>
        <w:rPr>
          <w:sz w:val="22"/>
          <w:szCs w:val="22"/>
          <w:highlight w:val="yellow"/>
          <w:lang w:val="fr-BE"/>
        </w:rPr>
        <w:t>Prénom, nom</w:t>
      </w:r>
    </w:p>
    <w:p w:rsidR="00B06FB5" w:rsidRDefault="00B06FB5" w:rsidP="00595676">
      <w:pPr>
        <w:pStyle w:val="Corpsdetexte"/>
        <w:tabs>
          <w:tab w:val="left" w:pos="5140"/>
        </w:tabs>
        <w:spacing w:line="268" w:lineRule="auto"/>
        <w:ind w:left="100" w:right="956"/>
        <w:rPr>
          <w:sz w:val="22"/>
          <w:szCs w:val="22"/>
          <w:highlight w:val="yellow"/>
          <w:lang w:val="fr-BE"/>
        </w:rPr>
      </w:pPr>
    </w:p>
    <w:p w:rsidR="00595676" w:rsidRPr="006323AB" w:rsidRDefault="00B06FB5" w:rsidP="00595676">
      <w:pPr>
        <w:pStyle w:val="Corpsdetexte"/>
        <w:tabs>
          <w:tab w:val="left" w:pos="5140"/>
        </w:tabs>
        <w:spacing w:line="268" w:lineRule="auto"/>
        <w:ind w:left="100" w:right="956"/>
        <w:rPr>
          <w:sz w:val="22"/>
          <w:szCs w:val="22"/>
          <w:lang w:val="fr-BE"/>
        </w:rPr>
      </w:pPr>
      <w:r>
        <w:rPr>
          <w:sz w:val="22"/>
          <w:szCs w:val="22"/>
          <w:highlight w:val="yellow"/>
          <w:lang w:val="fr-BE"/>
        </w:rPr>
        <w:t>Signature</w:t>
      </w:r>
    </w:p>
    <w:p w:rsidR="00596EE9" w:rsidRPr="006323AB" w:rsidRDefault="00596EE9" w:rsidP="00595676">
      <w:pPr>
        <w:pStyle w:val="Corpsdetexte"/>
        <w:tabs>
          <w:tab w:val="left" w:pos="5140"/>
        </w:tabs>
        <w:spacing w:line="268" w:lineRule="auto"/>
        <w:ind w:left="100" w:right="956"/>
        <w:rPr>
          <w:sz w:val="22"/>
          <w:szCs w:val="22"/>
          <w:lang w:val="fr-BE"/>
        </w:rPr>
      </w:pPr>
    </w:p>
    <w:p w:rsidR="005A414D" w:rsidRPr="006323AB" w:rsidRDefault="005A414D" w:rsidP="00595676">
      <w:pPr>
        <w:pStyle w:val="Corpsdetexte"/>
        <w:tabs>
          <w:tab w:val="left" w:pos="5140"/>
        </w:tabs>
        <w:spacing w:line="268" w:lineRule="auto"/>
        <w:ind w:left="100" w:right="956"/>
        <w:rPr>
          <w:sz w:val="22"/>
          <w:szCs w:val="22"/>
          <w:lang w:val="fr-BE"/>
        </w:rPr>
      </w:pPr>
    </w:p>
    <w:p w:rsidR="00B06FB5" w:rsidRDefault="00B06FB5" w:rsidP="00B06FB5">
      <w:pPr>
        <w:ind w:left="100"/>
        <w:jc w:val="center"/>
        <w:rPr>
          <w:sz w:val="24"/>
          <w:szCs w:val="24"/>
          <w:u w:val="single"/>
          <w:lang w:val="fr-BE"/>
        </w:rPr>
      </w:pPr>
      <w:r>
        <w:rPr>
          <w:sz w:val="24"/>
          <w:szCs w:val="24"/>
          <w:u w:val="single"/>
          <w:lang w:val="fr-BE"/>
        </w:rPr>
        <w:lastRenderedPageBreak/>
        <w:t>Références</w:t>
      </w:r>
    </w:p>
    <w:p w:rsidR="00B06FB5" w:rsidRDefault="00B06FB5" w:rsidP="000E1B89">
      <w:pPr>
        <w:jc w:val="both"/>
        <w:rPr>
          <w:sz w:val="18"/>
          <w:szCs w:val="18"/>
          <w:lang w:val="fr-FR"/>
        </w:rPr>
      </w:pPr>
    </w:p>
    <w:p w:rsidR="00B06FB5" w:rsidRDefault="00B06FB5" w:rsidP="000E1B89">
      <w:pPr>
        <w:jc w:val="both"/>
        <w:rPr>
          <w:sz w:val="18"/>
          <w:szCs w:val="18"/>
          <w:lang w:val="fr-FR"/>
        </w:rPr>
      </w:pPr>
    </w:p>
    <w:p w:rsidR="00596EE9" w:rsidRPr="000E1B89" w:rsidRDefault="00596EE9" w:rsidP="000E1B89">
      <w:pPr>
        <w:jc w:val="both"/>
        <w:rPr>
          <w:sz w:val="18"/>
          <w:szCs w:val="18"/>
          <w:lang w:val="fr-FR"/>
        </w:rPr>
      </w:pPr>
      <w:r w:rsidRPr="000E1B89">
        <w:rPr>
          <w:sz w:val="18"/>
          <w:szCs w:val="18"/>
          <w:lang w:val="fr-FR"/>
        </w:rPr>
        <w:t>(1) R. Forget, « Portables &amp; antennes – mauvaises ondes », Le droit de savoir, Sang de la Terre, Paris, 2013, p. 91.</w:t>
      </w:r>
    </w:p>
    <w:p w:rsidR="00596EE9" w:rsidRPr="000E1B89" w:rsidRDefault="00596EE9" w:rsidP="000E1B89">
      <w:pPr>
        <w:jc w:val="both"/>
        <w:rPr>
          <w:sz w:val="18"/>
          <w:szCs w:val="18"/>
          <w:lang w:val="fr-FR"/>
        </w:rPr>
      </w:pPr>
      <w:r w:rsidRPr="000E1B89">
        <w:rPr>
          <w:sz w:val="18"/>
          <w:szCs w:val="18"/>
          <w:lang w:val="fr-FR"/>
        </w:rPr>
        <w:t xml:space="preserve">(2) R. Gautier et al., </w:t>
      </w:r>
      <w:r w:rsidRPr="000E1B89">
        <w:rPr>
          <w:sz w:val="18"/>
          <w:szCs w:val="18"/>
          <w:lang w:val="fr-BE"/>
        </w:rPr>
        <w:t>« Votre GSM, votre santé – On vous ment ! », Livre blanc des incidences du téléphone mobile et des antennes-relais sur la santé, Collection Résurgence, 3</w:t>
      </w:r>
      <w:r w:rsidRPr="000E1B89">
        <w:rPr>
          <w:sz w:val="18"/>
          <w:szCs w:val="18"/>
          <w:vertAlign w:val="superscript"/>
          <w:lang w:val="fr-BE"/>
        </w:rPr>
        <w:t>ème</w:t>
      </w:r>
      <w:r w:rsidRPr="000E1B89">
        <w:rPr>
          <w:sz w:val="18"/>
          <w:szCs w:val="18"/>
          <w:lang w:val="fr-BE"/>
        </w:rPr>
        <w:t xml:space="preserve"> édition augmentée, mai 2006.</w:t>
      </w:r>
    </w:p>
    <w:p w:rsidR="00596EE9" w:rsidRPr="000E1B89" w:rsidRDefault="00596EE9" w:rsidP="000E1B89">
      <w:pPr>
        <w:jc w:val="both"/>
        <w:rPr>
          <w:sz w:val="18"/>
          <w:szCs w:val="18"/>
        </w:rPr>
      </w:pPr>
      <w:r w:rsidRPr="000E1B89">
        <w:rPr>
          <w:sz w:val="18"/>
          <w:szCs w:val="18"/>
        </w:rPr>
        <w:t xml:space="preserve">(3) Zothansiama et al., « Impact of radiofrequency radiation on DNA damage and antioxidants in peripheral blood lymphocytes of humans residing in the vicinity of mobile phone base stations », Electromagnetic Biology and Medicine, 2017, 36:3, 295-305, cité par Priartem, Communiqué du 19 mars 2018, </w:t>
      </w:r>
      <w:hyperlink r:id="rId8" w:history="1">
        <w:r w:rsidRPr="000E1B89">
          <w:rPr>
            <w:rStyle w:val="Lienhypertexte"/>
            <w:sz w:val="18"/>
            <w:szCs w:val="18"/>
          </w:rPr>
          <w:t>www.priartem.fr</w:t>
        </w:r>
      </w:hyperlink>
      <w:r w:rsidRPr="000E1B89">
        <w:rPr>
          <w:sz w:val="18"/>
          <w:szCs w:val="18"/>
        </w:rPr>
        <w:t xml:space="preserve"> </w:t>
      </w:r>
    </w:p>
    <w:p w:rsidR="00596EE9" w:rsidRPr="000E1B89" w:rsidRDefault="00596EE9" w:rsidP="000E1B89">
      <w:pPr>
        <w:jc w:val="both"/>
        <w:rPr>
          <w:sz w:val="18"/>
          <w:szCs w:val="18"/>
        </w:rPr>
      </w:pPr>
      <w:r w:rsidRPr="000E1B89">
        <w:rPr>
          <w:sz w:val="18"/>
          <w:szCs w:val="18"/>
        </w:rPr>
        <w:t>(4) A. Philips et al., “Brain tumours: rise in Glioblastoma Multiforme incidence in England 1995-2015 suggests an adverse environmental or lifestyle factor”, Journal of Environmental and Public Health, 21 mars 2018, cité par Microwave News, 25 mars 2018.</w:t>
      </w:r>
    </w:p>
    <w:p w:rsidR="00596EE9" w:rsidRPr="000E1B89" w:rsidRDefault="00596EE9" w:rsidP="000E1B89">
      <w:pPr>
        <w:jc w:val="both"/>
        <w:rPr>
          <w:sz w:val="18"/>
          <w:szCs w:val="18"/>
        </w:rPr>
      </w:pPr>
      <w:r w:rsidRPr="000E1B89">
        <w:rPr>
          <w:sz w:val="18"/>
          <w:szCs w:val="18"/>
        </w:rPr>
        <w:t>(5) I. Belyaev et al., “EUROPAEM EMF Guideline 2016 for the prevention, diagnosis and treatment of EMS-related health problems and illnesses”, Reviews on Environmental Health, De Gruyter Publishing House, 2016, 31(3), 363-397, table 3, 381, and table 4, 382.</w:t>
      </w:r>
    </w:p>
    <w:p w:rsidR="009D6B72" w:rsidRPr="000E1B89" w:rsidRDefault="009D6B72" w:rsidP="000E1B89">
      <w:pPr>
        <w:pStyle w:val="Corpsdetexte"/>
        <w:spacing w:before="1"/>
        <w:jc w:val="both"/>
        <w:rPr>
          <w:sz w:val="18"/>
          <w:szCs w:val="18"/>
        </w:rPr>
      </w:pPr>
    </w:p>
    <w:p w:rsidR="000E1B89" w:rsidRPr="00E06B08" w:rsidRDefault="000E1B89">
      <w:pPr>
        <w:ind w:left="100"/>
        <w:rPr>
          <w:sz w:val="24"/>
          <w:szCs w:val="24"/>
          <w:u w:val="single"/>
        </w:rPr>
      </w:pPr>
    </w:p>
    <w:p w:rsidR="000E1B89" w:rsidRPr="00E06B08" w:rsidRDefault="000E1B89">
      <w:pPr>
        <w:ind w:left="100"/>
        <w:rPr>
          <w:sz w:val="24"/>
          <w:szCs w:val="24"/>
          <w:u w:val="single"/>
        </w:rPr>
      </w:pPr>
    </w:p>
    <w:p w:rsidR="009D6B72" w:rsidRDefault="00ED5D27" w:rsidP="003024B0">
      <w:pPr>
        <w:ind w:left="100"/>
        <w:jc w:val="center"/>
        <w:rPr>
          <w:sz w:val="24"/>
          <w:szCs w:val="24"/>
          <w:u w:val="single"/>
          <w:lang w:val="fr-BE"/>
        </w:rPr>
      </w:pPr>
      <w:r>
        <w:rPr>
          <w:sz w:val="24"/>
          <w:szCs w:val="24"/>
          <w:u w:val="single"/>
          <w:lang w:val="fr-BE"/>
        </w:rPr>
        <w:t>A</w:t>
      </w:r>
      <w:r w:rsidR="00FC6650" w:rsidRPr="00596EE9">
        <w:rPr>
          <w:sz w:val="24"/>
          <w:szCs w:val="24"/>
          <w:u w:val="single"/>
          <w:lang w:val="fr-BE"/>
        </w:rPr>
        <w:t>nnexes</w:t>
      </w:r>
    </w:p>
    <w:p w:rsidR="00365A42" w:rsidRPr="00596EE9" w:rsidRDefault="00365A42">
      <w:pPr>
        <w:ind w:left="100"/>
        <w:rPr>
          <w:sz w:val="24"/>
          <w:szCs w:val="24"/>
          <w:lang w:val="fr-BE"/>
        </w:rPr>
      </w:pPr>
    </w:p>
    <w:p w:rsidR="00365A42" w:rsidRDefault="00365A42" w:rsidP="00ED5D27">
      <w:pPr>
        <w:adjustRightInd w:val="0"/>
        <w:jc w:val="both"/>
        <w:rPr>
          <w:sz w:val="20"/>
          <w:szCs w:val="20"/>
          <w:lang w:val="fr-BE"/>
        </w:rPr>
      </w:pPr>
      <w:r>
        <w:rPr>
          <w:sz w:val="20"/>
          <w:szCs w:val="20"/>
          <w:lang w:val="fr-BE"/>
        </w:rPr>
        <w:t>Pièce 1</w:t>
      </w:r>
    </w:p>
    <w:p w:rsidR="00ED5D27" w:rsidRPr="00ED5D27" w:rsidRDefault="00365A42" w:rsidP="00ED5D27">
      <w:pPr>
        <w:adjustRightInd w:val="0"/>
        <w:jc w:val="both"/>
        <w:rPr>
          <w:sz w:val="20"/>
          <w:szCs w:val="20"/>
          <w:lang w:val="fr-BE"/>
        </w:rPr>
      </w:pPr>
      <w:r>
        <w:rPr>
          <w:sz w:val="20"/>
          <w:szCs w:val="20"/>
          <w:lang w:val="fr-BE"/>
        </w:rPr>
        <w:t xml:space="preserve">Liste des signataires de l’opposition collective (soit au total  </w:t>
      </w:r>
      <w:r w:rsidR="005A414D">
        <w:rPr>
          <w:sz w:val="20"/>
          <w:szCs w:val="20"/>
          <w:lang w:val="fr-BE"/>
        </w:rPr>
        <w:t xml:space="preserve"> </w:t>
      </w:r>
      <w:r>
        <w:rPr>
          <w:sz w:val="20"/>
          <w:szCs w:val="20"/>
          <w:lang w:val="fr-BE"/>
        </w:rPr>
        <w:t xml:space="preserve">   pages et   </w:t>
      </w:r>
      <w:r w:rsidR="005A414D">
        <w:rPr>
          <w:sz w:val="20"/>
          <w:szCs w:val="20"/>
          <w:lang w:val="fr-BE"/>
        </w:rPr>
        <w:t xml:space="preserve"> </w:t>
      </w:r>
      <w:r>
        <w:rPr>
          <w:sz w:val="20"/>
          <w:szCs w:val="20"/>
          <w:lang w:val="fr-BE"/>
        </w:rPr>
        <w:t xml:space="preserve">    signatures)</w:t>
      </w:r>
      <w:r w:rsidR="00ED5D27" w:rsidRPr="00ED5D27">
        <w:rPr>
          <w:sz w:val="20"/>
          <w:szCs w:val="20"/>
          <w:lang w:val="fr-BE"/>
        </w:rPr>
        <w:t xml:space="preserve"> </w:t>
      </w:r>
    </w:p>
    <w:p w:rsidR="00ED5D27" w:rsidRPr="00ED5D27" w:rsidRDefault="00ED5D27" w:rsidP="00ED5D27">
      <w:pPr>
        <w:adjustRightInd w:val="0"/>
        <w:jc w:val="both"/>
        <w:rPr>
          <w:sz w:val="20"/>
          <w:szCs w:val="20"/>
          <w:lang w:val="fr-BE"/>
        </w:rPr>
      </w:pPr>
    </w:p>
    <w:p w:rsidR="00ED5D27" w:rsidRPr="00ED5D27" w:rsidRDefault="00ED5D27" w:rsidP="00ED5D27">
      <w:pPr>
        <w:adjustRightInd w:val="0"/>
        <w:jc w:val="both"/>
        <w:rPr>
          <w:sz w:val="20"/>
          <w:szCs w:val="20"/>
          <w:lang w:val="fr-BE"/>
        </w:rPr>
      </w:pPr>
    </w:p>
    <w:p w:rsidR="00ED5D27" w:rsidRPr="00ED5D27" w:rsidRDefault="00ED5D27" w:rsidP="00ED5D27">
      <w:pPr>
        <w:adjustRightInd w:val="0"/>
        <w:jc w:val="both"/>
        <w:rPr>
          <w:sz w:val="20"/>
          <w:szCs w:val="20"/>
          <w:lang w:val="fr-FR"/>
        </w:rPr>
      </w:pPr>
      <w:r w:rsidRPr="00ED5D27">
        <w:rPr>
          <w:sz w:val="20"/>
          <w:szCs w:val="20"/>
          <w:lang w:val="fr-BE"/>
        </w:rPr>
        <w:t xml:space="preserve">Pièce </w:t>
      </w:r>
      <w:r w:rsidR="00365A42">
        <w:rPr>
          <w:sz w:val="20"/>
          <w:szCs w:val="20"/>
          <w:lang w:val="fr-BE"/>
        </w:rPr>
        <w:t>2</w:t>
      </w:r>
    </w:p>
    <w:p w:rsidR="00ED5D27" w:rsidRPr="00ED5D27" w:rsidRDefault="00ED5D27" w:rsidP="00ED5D27">
      <w:pPr>
        <w:adjustRightInd w:val="0"/>
        <w:jc w:val="both"/>
        <w:rPr>
          <w:sz w:val="20"/>
          <w:szCs w:val="20"/>
          <w:lang w:val="fr-BE"/>
        </w:rPr>
      </w:pPr>
      <w:r w:rsidRPr="00ED5D27">
        <w:rPr>
          <w:sz w:val="20"/>
          <w:szCs w:val="20"/>
          <w:lang w:val="fr-BE"/>
        </w:rPr>
        <w:t xml:space="preserve">PRIARTEM, </w:t>
      </w:r>
      <w:r w:rsidRPr="00ED5D27">
        <w:rPr>
          <w:i/>
          <w:sz w:val="20"/>
          <w:szCs w:val="20"/>
          <w:lang w:val="fr-BE"/>
        </w:rPr>
        <w:t>Conclusions définitives du Programme National de Toxicologie américain (NTP) - Des preuves évidentes entre ondes de téléphonie mobile et tumeurs chez l’animal</w:t>
      </w:r>
      <w:r w:rsidRPr="00ED5D27">
        <w:rPr>
          <w:sz w:val="20"/>
          <w:szCs w:val="20"/>
          <w:lang w:val="fr-BE"/>
        </w:rPr>
        <w:t>, Communiqué de presse du 2 novembre 2018 :</w:t>
      </w:r>
    </w:p>
    <w:p w:rsidR="00ED5D27" w:rsidRPr="00ED5D27" w:rsidRDefault="00A820E7" w:rsidP="00ED5D27">
      <w:pPr>
        <w:adjustRightInd w:val="0"/>
        <w:jc w:val="both"/>
        <w:rPr>
          <w:sz w:val="20"/>
          <w:szCs w:val="20"/>
          <w:lang w:val="fr-BE"/>
        </w:rPr>
      </w:pPr>
      <w:hyperlink r:id="rId9" w:history="1">
        <w:r w:rsidR="00ED5D27" w:rsidRPr="00ED5D27">
          <w:rPr>
            <w:rStyle w:val="Lienhypertexte"/>
            <w:sz w:val="20"/>
            <w:szCs w:val="20"/>
            <w:lang w:val="fr-BE"/>
          </w:rPr>
          <w:t>www.priartem.fr/Ondes-et-tumeurs-Des-preuves.html?var_recherche=NTP</w:t>
        </w:r>
      </w:hyperlink>
    </w:p>
    <w:p w:rsidR="00ED5D27" w:rsidRPr="00ED5D27" w:rsidRDefault="00ED5D27" w:rsidP="00ED5D27">
      <w:pPr>
        <w:adjustRightInd w:val="0"/>
        <w:jc w:val="both"/>
        <w:rPr>
          <w:sz w:val="20"/>
          <w:szCs w:val="20"/>
          <w:lang w:val="fr-BE"/>
        </w:rPr>
      </w:pPr>
    </w:p>
    <w:p w:rsidR="00ED5D27" w:rsidRPr="00ED5D27" w:rsidRDefault="00ED5D27" w:rsidP="00ED5D27">
      <w:pPr>
        <w:adjustRightInd w:val="0"/>
        <w:jc w:val="both"/>
        <w:rPr>
          <w:sz w:val="20"/>
          <w:szCs w:val="20"/>
          <w:lang w:val="fr-BE"/>
        </w:rPr>
      </w:pPr>
    </w:p>
    <w:p w:rsidR="00ED5D27" w:rsidRPr="00ED5D27" w:rsidRDefault="00ED5D27" w:rsidP="00ED5D27">
      <w:pPr>
        <w:adjustRightInd w:val="0"/>
        <w:jc w:val="both"/>
        <w:rPr>
          <w:sz w:val="20"/>
          <w:szCs w:val="20"/>
        </w:rPr>
      </w:pPr>
      <w:r w:rsidRPr="00ED5D27">
        <w:rPr>
          <w:sz w:val="20"/>
          <w:szCs w:val="20"/>
        </w:rPr>
        <w:t xml:space="preserve">Pièce </w:t>
      </w:r>
      <w:r w:rsidR="00365A42">
        <w:rPr>
          <w:sz w:val="20"/>
          <w:szCs w:val="20"/>
        </w:rPr>
        <w:t>3</w:t>
      </w:r>
    </w:p>
    <w:p w:rsidR="00ED5D27" w:rsidRPr="00ED5D27" w:rsidRDefault="00ED5D27" w:rsidP="00ED5D27">
      <w:pPr>
        <w:adjustRightInd w:val="0"/>
        <w:jc w:val="both"/>
        <w:rPr>
          <w:sz w:val="20"/>
          <w:szCs w:val="20"/>
        </w:rPr>
      </w:pPr>
      <w:r w:rsidRPr="00ED5D27">
        <w:rPr>
          <w:color w:val="000000"/>
          <w:sz w:val="20"/>
          <w:szCs w:val="20"/>
        </w:rPr>
        <w:t xml:space="preserve">Belpomme D, Hardell L, Belyaev I, Burgio E, Carpenter DO. </w:t>
      </w:r>
      <w:hyperlink r:id="rId10" w:tgtFrame="_blank" w:history="1">
        <w:r w:rsidRPr="00ED5D27">
          <w:rPr>
            <w:bCs/>
            <w:i/>
            <w:iCs/>
            <w:sz w:val="20"/>
            <w:szCs w:val="20"/>
          </w:rPr>
          <w:t>Thermal and non-thermal health effects of low intensity non-ionizing radiation: An international perspective</w:t>
        </w:r>
      </w:hyperlink>
      <w:r w:rsidRPr="00ED5D27">
        <w:rPr>
          <w:sz w:val="20"/>
          <w:szCs w:val="20"/>
        </w:rPr>
        <w:t xml:space="preserve">, </w:t>
      </w:r>
      <w:r w:rsidRPr="00ED5D27">
        <w:rPr>
          <w:color w:val="000000"/>
          <w:sz w:val="20"/>
          <w:szCs w:val="20"/>
        </w:rPr>
        <w:t xml:space="preserve">Environ Pollut. 2018 Nov; 242(Pt A):643-658. </w:t>
      </w:r>
      <w:hyperlink r:id="rId11" w:history="1">
        <w:r w:rsidRPr="00ED5D27">
          <w:rPr>
            <w:rStyle w:val="Lienhypertexte"/>
            <w:sz w:val="20"/>
            <w:szCs w:val="20"/>
          </w:rPr>
          <w:t>https://www.ncbi.nlm.nih.gov/pubmed/30025338</w:t>
        </w:r>
      </w:hyperlink>
    </w:p>
    <w:p w:rsidR="00ED5D27" w:rsidRPr="00ED5D27" w:rsidRDefault="00ED5D27" w:rsidP="00ED5D27">
      <w:pPr>
        <w:adjustRightInd w:val="0"/>
        <w:jc w:val="both"/>
        <w:rPr>
          <w:sz w:val="20"/>
          <w:szCs w:val="20"/>
        </w:rPr>
      </w:pPr>
    </w:p>
    <w:p w:rsidR="00ED5D27" w:rsidRPr="00ED5D27" w:rsidRDefault="00ED5D27" w:rsidP="00ED5D27">
      <w:pPr>
        <w:adjustRightInd w:val="0"/>
        <w:jc w:val="both"/>
        <w:rPr>
          <w:sz w:val="20"/>
          <w:szCs w:val="20"/>
        </w:rPr>
      </w:pPr>
    </w:p>
    <w:p w:rsidR="00ED5D27" w:rsidRPr="00ED5D27" w:rsidRDefault="00ED5D27" w:rsidP="00ED5D27">
      <w:pPr>
        <w:adjustRightInd w:val="0"/>
        <w:jc w:val="both"/>
        <w:rPr>
          <w:sz w:val="20"/>
          <w:szCs w:val="20"/>
          <w:lang w:val="fr-BE"/>
        </w:rPr>
      </w:pPr>
      <w:r w:rsidRPr="00ED5D27">
        <w:rPr>
          <w:sz w:val="20"/>
          <w:szCs w:val="20"/>
          <w:lang w:val="fr-BE"/>
        </w:rPr>
        <w:t xml:space="preserve">Pièce </w:t>
      </w:r>
      <w:r w:rsidR="00365A42">
        <w:rPr>
          <w:sz w:val="20"/>
          <w:szCs w:val="20"/>
          <w:lang w:val="fr-BE"/>
        </w:rPr>
        <w:t>4</w:t>
      </w:r>
    </w:p>
    <w:p w:rsidR="00ED5D27" w:rsidRPr="00ED5D27" w:rsidRDefault="00ED5D27" w:rsidP="00ED5D27">
      <w:pPr>
        <w:adjustRightInd w:val="0"/>
        <w:jc w:val="both"/>
        <w:rPr>
          <w:i/>
          <w:sz w:val="20"/>
          <w:szCs w:val="20"/>
          <w:lang w:val="fr-FR"/>
        </w:rPr>
      </w:pPr>
      <w:r w:rsidRPr="00ED5D27">
        <w:rPr>
          <w:i/>
          <w:sz w:val="20"/>
          <w:szCs w:val="20"/>
          <w:lang w:val="fr-FR"/>
        </w:rPr>
        <w:t>Appel international demandant l’arrêt du déploiement de la 5G sur Terre et dans l’espace</w:t>
      </w:r>
    </w:p>
    <w:p w:rsidR="00ED5D27" w:rsidRPr="00ED5D27" w:rsidRDefault="00A820E7" w:rsidP="00ED5D27">
      <w:pPr>
        <w:adjustRightInd w:val="0"/>
        <w:jc w:val="both"/>
        <w:rPr>
          <w:sz w:val="20"/>
          <w:szCs w:val="20"/>
          <w:lang w:val="fr-FR"/>
        </w:rPr>
      </w:pPr>
      <w:hyperlink r:id="rId12" w:history="1">
        <w:r w:rsidR="00ED5D27" w:rsidRPr="00ED5D27">
          <w:rPr>
            <w:rStyle w:val="Lienhypertexte"/>
            <w:sz w:val="20"/>
            <w:szCs w:val="20"/>
            <w:lang w:val="fr-FR"/>
          </w:rPr>
          <w:t>https://static1.squarespace.com/static/5b8dbc1b7c9327d89d9428a4/t/5c7d8e6ba4222fbd945e0150/1551732333705/Appel_international_demandant_l%27arrêt_du_déploiement_de_la_5G_+sur_Terre_et_dans_l%27espace.pdf</w:t>
        </w:r>
      </w:hyperlink>
    </w:p>
    <w:p w:rsidR="00ED5D27" w:rsidRPr="00ED5D27" w:rsidRDefault="00ED5D27" w:rsidP="00ED5D27">
      <w:pPr>
        <w:adjustRightInd w:val="0"/>
        <w:jc w:val="both"/>
        <w:rPr>
          <w:sz w:val="20"/>
          <w:szCs w:val="20"/>
          <w:lang w:val="fr-FR"/>
        </w:rPr>
      </w:pPr>
    </w:p>
    <w:p w:rsidR="00ED5D27" w:rsidRPr="00ED5D27" w:rsidRDefault="00ED5D27" w:rsidP="00ED5D27">
      <w:pPr>
        <w:adjustRightInd w:val="0"/>
        <w:jc w:val="both"/>
        <w:rPr>
          <w:sz w:val="20"/>
          <w:szCs w:val="20"/>
          <w:lang w:val="fr-FR"/>
        </w:rPr>
      </w:pPr>
    </w:p>
    <w:p w:rsidR="00ED5D27" w:rsidRPr="00E23224" w:rsidRDefault="00ED5D27" w:rsidP="00ED5D27">
      <w:pPr>
        <w:adjustRightInd w:val="0"/>
        <w:jc w:val="both"/>
        <w:rPr>
          <w:sz w:val="20"/>
          <w:szCs w:val="20"/>
          <w:lang w:val="fr-BE"/>
        </w:rPr>
      </w:pPr>
      <w:r w:rsidRPr="00E23224">
        <w:rPr>
          <w:sz w:val="20"/>
          <w:szCs w:val="20"/>
          <w:lang w:val="fr-BE"/>
        </w:rPr>
        <w:t xml:space="preserve">Pièce </w:t>
      </w:r>
      <w:r w:rsidR="00365A42">
        <w:rPr>
          <w:sz w:val="20"/>
          <w:szCs w:val="20"/>
          <w:lang w:val="fr-BE"/>
        </w:rPr>
        <w:t>5</w:t>
      </w:r>
    </w:p>
    <w:p w:rsidR="00ED5D27" w:rsidRPr="00ED5D27" w:rsidRDefault="00ED5D27" w:rsidP="00ED5D27">
      <w:pPr>
        <w:adjustRightInd w:val="0"/>
        <w:jc w:val="both"/>
        <w:rPr>
          <w:i/>
          <w:sz w:val="20"/>
          <w:szCs w:val="20"/>
          <w:lang w:val="fr-BE"/>
        </w:rPr>
      </w:pPr>
      <w:r w:rsidRPr="00ED5D27">
        <w:rPr>
          <w:sz w:val="20"/>
          <w:szCs w:val="20"/>
          <w:lang w:val="fr-BE"/>
        </w:rPr>
        <w:t xml:space="preserve">Académie européenne de médecine environnementale (EUROPAEM), </w:t>
      </w:r>
      <w:r w:rsidRPr="00ED5D27">
        <w:rPr>
          <w:i/>
          <w:sz w:val="20"/>
          <w:szCs w:val="20"/>
          <w:lang w:val="fr-BE"/>
        </w:rPr>
        <w:t xml:space="preserve">Lignes directrices 2016 pour la prévention, le diagnostic et le traitement des sujets atteints de problèmes de santé et de maladies en lien avec les champs électromagnétiques, </w:t>
      </w:r>
      <w:r w:rsidRPr="00ED5D27">
        <w:rPr>
          <w:sz w:val="20"/>
          <w:szCs w:val="20"/>
          <w:lang w:val="fr-BE"/>
        </w:rPr>
        <w:t xml:space="preserve">extraits traduits en français, tirés de I. Belyaev et al., </w:t>
      </w:r>
      <w:r w:rsidRPr="00ED5D27">
        <w:rPr>
          <w:i/>
          <w:sz w:val="20"/>
          <w:szCs w:val="20"/>
          <w:lang w:val="fr-BE"/>
        </w:rPr>
        <w:t>EUROPAEM EMF Guideline 2016 for the prevention, diagnosis and treatment of EMS-related health problems and illnesses</w:t>
      </w:r>
      <w:r w:rsidRPr="00ED5D27">
        <w:rPr>
          <w:sz w:val="20"/>
          <w:szCs w:val="20"/>
          <w:lang w:val="fr-BE"/>
        </w:rPr>
        <w:t>, Reviews on Environmental Health, De Gruyter Publishing House, 2016, 31(</w:t>
      </w:r>
      <w:r w:rsidR="00643D57">
        <w:rPr>
          <w:sz w:val="20"/>
          <w:szCs w:val="20"/>
          <w:lang w:val="fr-BE"/>
        </w:rPr>
        <w:t>-</w:t>
      </w:r>
      <w:r w:rsidRPr="00ED5D27">
        <w:rPr>
          <w:sz w:val="20"/>
          <w:szCs w:val="20"/>
          <w:lang w:val="fr-BE"/>
        </w:rPr>
        <w:t>3), 363-397, table 3, 381, and table 4, 382.</w:t>
      </w:r>
    </w:p>
    <w:sectPr w:rsidR="00ED5D27" w:rsidRPr="00ED5D27" w:rsidSect="009D6B72">
      <w:headerReference w:type="default" r:id="rId13"/>
      <w:pgSz w:w="12240" w:h="15840"/>
      <w:pgMar w:top="1500" w:right="1680" w:bottom="280" w:left="17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CB2" w:rsidRDefault="00170CB2" w:rsidP="00DB5EDD">
      <w:r>
        <w:separator/>
      </w:r>
    </w:p>
  </w:endnote>
  <w:endnote w:type="continuationSeparator" w:id="1">
    <w:p w:rsidR="00170CB2" w:rsidRDefault="00170CB2" w:rsidP="00DB5E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CB2" w:rsidRDefault="00170CB2" w:rsidP="00DB5EDD">
      <w:r>
        <w:separator/>
      </w:r>
    </w:p>
  </w:footnote>
  <w:footnote w:type="continuationSeparator" w:id="1">
    <w:p w:rsidR="00170CB2" w:rsidRDefault="00170CB2" w:rsidP="00DB5E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613110"/>
      <w:docPartObj>
        <w:docPartGallery w:val="Page Numbers (Top of Page)"/>
        <w:docPartUnique/>
      </w:docPartObj>
    </w:sdtPr>
    <w:sdtContent>
      <w:p w:rsidR="00DB5EDD" w:rsidRDefault="00A820E7">
        <w:pPr>
          <w:pStyle w:val="En-tte"/>
          <w:jc w:val="right"/>
        </w:pPr>
        <w:fldSimple w:instr=" PAGE   \* MERGEFORMAT ">
          <w:r w:rsidR="00B06FB5">
            <w:rPr>
              <w:noProof/>
            </w:rPr>
            <w:t>5</w:t>
          </w:r>
        </w:fldSimple>
      </w:p>
    </w:sdtContent>
  </w:sdt>
  <w:p w:rsidR="00DB5EDD" w:rsidRDefault="00DB5ED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35C"/>
    <w:multiLevelType w:val="hybridMultilevel"/>
    <w:tmpl w:val="AD02931E"/>
    <w:lvl w:ilvl="0" w:tplc="080C0001">
      <w:start w:val="1"/>
      <w:numFmt w:val="bullet"/>
      <w:lvlText w:val=""/>
      <w:lvlJc w:val="left"/>
      <w:pPr>
        <w:ind w:left="1245" w:hanging="360"/>
      </w:pPr>
      <w:rPr>
        <w:rFonts w:ascii="Symbol" w:hAnsi="Symbol" w:hint="default"/>
      </w:rPr>
    </w:lvl>
    <w:lvl w:ilvl="1" w:tplc="080C0003" w:tentative="1">
      <w:start w:val="1"/>
      <w:numFmt w:val="bullet"/>
      <w:lvlText w:val="o"/>
      <w:lvlJc w:val="left"/>
      <w:pPr>
        <w:ind w:left="1965" w:hanging="360"/>
      </w:pPr>
      <w:rPr>
        <w:rFonts w:ascii="Courier New" w:hAnsi="Courier New" w:cs="Courier New" w:hint="default"/>
      </w:rPr>
    </w:lvl>
    <w:lvl w:ilvl="2" w:tplc="080C0005" w:tentative="1">
      <w:start w:val="1"/>
      <w:numFmt w:val="bullet"/>
      <w:lvlText w:val=""/>
      <w:lvlJc w:val="left"/>
      <w:pPr>
        <w:ind w:left="2685" w:hanging="360"/>
      </w:pPr>
      <w:rPr>
        <w:rFonts w:ascii="Wingdings" w:hAnsi="Wingdings" w:hint="default"/>
      </w:rPr>
    </w:lvl>
    <w:lvl w:ilvl="3" w:tplc="080C0001" w:tentative="1">
      <w:start w:val="1"/>
      <w:numFmt w:val="bullet"/>
      <w:lvlText w:val=""/>
      <w:lvlJc w:val="left"/>
      <w:pPr>
        <w:ind w:left="3405" w:hanging="360"/>
      </w:pPr>
      <w:rPr>
        <w:rFonts w:ascii="Symbol" w:hAnsi="Symbol" w:hint="default"/>
      </w:rPr>
    </w:lvl>
    <w:lvl w:ilvl="4" w:tplc="080C0003" w:tentative="1">
      <w:start w:val="1"/>
      <w:numFmt w:val="bullet"/>
      <w:lvlText w:val="o"/>
      <w:lvlJc w:val="left"/>
      <w:pPr>
        <w:ind w:left="4125" w:hanging="360"/>
      </w:pPr>
      <w:rPr>
        <w:rFonts w:ascii="Courier New" w:hAnsi="Courier New" w:cs="Courier New" w:hint="default"/>
      </w:rPr>
    </w:lvl>
    <w:lvl w:ilvl="5" w:tplc="080C0005" w:tentative="1">
      <w:start w:val="1"/>
      <w:numFmt w:val="bullet"/>
      <w:lvlText w:val=""/>
      <w:lvlJc w:val="left"/>
      <w:pPr>
        <w:ind w:left="4845" w:hanging="360"/>
      </w:pPr>
      <w:rPr>
        <w:rFonts w:ascii="Wingdings" w:hAnsi="Wingdings" w:hint="default"/>
      </w:rPr>
    </w:lvl>
    <w:lvl w:ilvl="6" w:tplc="080C0001" w:tentative="1">
      <w:start w:val="1"/>
      <w:numFmt w:val="bullet"/>
      <w:lvlText w:val=""/>
      <w:lvlJc w:val="left"/>
      <w:pPr>
        <w:ind w:left="5565" w:hanging="360"/>
      </w:pPr>
      <w:rPr>
        <w:rFonts w:ascii="Symbol" w:hAnsi="Symbol" w:hint="default"/>
      </w:rPr>
    </w:lvl>
    <w:lvl w:ilvl="7" w:tplc="080C0003" w:tentative="1">
      <w:start w:val="1"/>
      <w:numFmt w:val="bullet"/>
      <w:lvlText w:val="o"/>
      <w:lvlJc w:val="left"/>
      <w:pPr>
        <w:ind w:left="6285" w:hanging="360"/>
      </w:pPr>
      <w:rPr>
        <w:rFonts w:ascii="Courier New" w:hAnsi="Courier New" w:cs="Courier New" w:hint="default"/>
      </w:rPr>
    </w:lvl>
    <w:lvl w:ilvl="8" w:tplc="080C0005" w:tentative="1">
      <w:start w:val="1"/>
      <w:numFmt w:val="bullet"/>
      <w:lvlText w:val=""/>
      <w:lvlJc w:val="left"/>
      <w:pPr>
        <w:ind w:left="7005" w:hanging="360"/>
      </w:pPr>
      <w:rPr>
        <w:rFonts w:ascii="Wingdings" w:hAnsi="Wingdings" w:hint="default"/>
      </w:rPr>
    </w:lvl>
  </w:abstractNum>
  <w:abstractNum w:abstractNumId="1">
    <w:nsid w:val="10860D3C"/>
    <w:multiLevelType w:val="hybridMultilevel"/>
    <w:tmpl w:val="D9D67376"/>
    <w:lvl w:ilvl="0" w:tplc="080C0001">
      <w:start w:val="1"/>
      <w:numFmt w:val="bullet"/>
      <w:lvlText w:val=""/>
      <w:lvlJc w:val="left"/>
      <w:pPr>
        <w:ind w:left="1245" w:hanging="360"/>
      </w:pPr>
      <w:rPr>
        <w:rFonts w:ascii="Symbol" w:hAnsi="Symbol" w:hint="default"/>
      </w:rPr>
    </w:lvl>
    <w:lvl w:ilvl="1" w:tplc="080C0003" w:tentative="1">
      <w:start w:val="1"/>
      <w:numFmt w:val="bullet"/>
      <w:lvlText w:val="o"/>
      <w:lvlJc w:val="left"/>
      <w:pPr>
        <w:ind w:left="1965" w:hanging="360"/>
      </w:pPr>
      <w:rPr>
        <w:rFonts w:ascii="Courier New" w:hAnsi="Courier New" w:cs="Courier New" w:hint="default"/>
      </w:rPr>
    </w:lvl>
    <w:lvl w:ilvl="2" w:tplc="080C0005" w:tentative="1">
      <w:start w:val="1"/>
      <w:numFmt w:val="bullet"/>
      <w:lvlText w:val=""/>
      <w:lvlJc w:val="left"/>
      <w:pPr>
        <w:ind w:left="2685" w:hanging="360"/>
      </w:pPr>
      <w:rPr>
        <w:rFonts w:ascii="Wingdings" w:hAnsi="Wingdings" w:hint="default"/>
      </w:rPr>
    </w:lvl>
    <w:lvl w:ilvl="3" w:tplc="080C0001" w:tentative="1">
      <w:start w:val="1"/>
      <w:numFmt w:val="bullet"/>
      <w:lvlText w:val=""/>
      <w:lvlJc w:val="left"/>
      <w:pPr>
        <w:ind w:left="3405" w:hanging="360"/>
      </w:pPr>
      <w:rPr>
        <w:rFonts w:ascii="Symbol" w:hAnsi="Symbol" w:hint="default"/>
      </w:rPr>
    </w:lvl>
    <w:lvl w:ilvl="4" w:tplc="080C0003" w:tentative="1">
      <w:start w:val="1"/>
      <w:numFmt w:val="bullet"/>
      <w:lvlText w:val="o"/>
      <w:lvlJc w:val="left"/>
      <w:pPr>
        <w:ind w:left="4125" w:hanging="360"/>
      </w:pPr>
      <w:rPr>
        <w:rFonts w:ascii="Courier New" w:hAnsi="Courier New" w:cs="Courier New" w:hint="default"/>
      </w:rPr>
    </w:lvl>
    <w:lvl w:ilvl="5" w:tplc="080C0005" w:tentative="1">
      <w:start w:val="1"/>
      <w:numFmt w:val="bullet"/>
      <w:lvlText w:val=""/>
      <w:lvlJc w:val="left"/>
      <w:pPr>
        <w:ind w:left="4845" w:hanging="360"/>
      </w:pPr>
      <w:rPr>
        <w:rFonts w:ascii="Wingdings" w:hAnsi="Wingdings" w:hint="default"/>
      </w:rPr>
    </w:lvl>
    <w:lvl w:ilvl="6" w:tplc="080C0001" w:tentative="1">
      <w:start w:val="1"/>
      <w:numFmt w:val="bullet"/>
      <w:lvlText w:val=""/>
      <w:lvlJc w:val="left"/>
      <w:pPr>
        <w:ind w:left="5565" w:hanging="360"/>
      </w:pPr>
      <w:rPr>
        <w:rFonts w:ascii="Symbol" w:hAnsi="Symbol" w:hint="default"/>
      </w:rPr>
    </w:lvl>
    <w:lvl w:ilvl="7" w:tplc="080C0003" w:tentative="1">
      <w:start w:val="1"/>
      <w:numFmt w:val="bullet"/>
      <w:lvlText w:val="o"/>
      <w:lvlJc w:val="left"/>
      <w:pPr>
        <w:ind w:left="6285" w:hanging="360"/>
      </w:pPr>
      <w:rPr>
        <w:rFonts w:ascii="Courier New" w:hAnsi="Courier New" w:cs="Courier New" w:hint="default"/>
      </w:rPr>
    </w:lvl>
    <w:lvl w:ilvl="8" w:tplc="080C0005" w:tentative="1">
      <w:start w:val="1"/>
      <w:numFmt w:val="bullet"/>
      <w:lvlText w:val=""/>
      <w:lvlJc w:val="left"/>
      <w:pPr>
        <w:ind w:left="7005" w:hanging="360"/>
      </w:pPr>
      <w:rPr>
        <w:rFonts w:ascii="Wingdings" w:hAnsi="Wingdings" w:hint="default"/>
      </w:rPr>
    </w:lvl>
  </w:abstractNum>
  <w:abstractNum w:abstractNumId="2">
    <w:nsid w:val="15F1692B"/>
    <w:multiLevelType w:val="hybridMultilevel"/>
    <w:tmpl w:val="C108DF4A"/>
    <w:lvl w:ilvl="0" w:tplc="DD687550">
      <w:numFmt w:val="bullet"/>
      <w:lvlText w:val="•"/>
      <w:lvlJc w:val="left"/>
      <w:pPr>
        <w:ind w:left="820" w:hanging="114"/>
      </w:pPr>
      <w:rPr>
        <w:rFonts w:ascii="Arial" w:eastAsia="Arial" w:hAnsi="Arial" w:cs="Arial" w:hint="default"/>
        <w:spacing w:val="-17"/>
        <w:w w:val="44"/>
        <w:sz w:val="18"/>
        <w:szCs w:val="18"/>
      </w:rPr>
    </w:lvl>
    <w:lvl w:ilvl="1" w:tplc="E256AF2E">
      <w:numFmt w:val="bullet"/>
      <w:lvlText w:val="•"/>
      <w:lvlJc w:val="left"/>
      <w:pPr>
        <w:ind w:left="1624" w:hanging="114"/>
      </w:pPr>
      <w:rPr>
        <w:rFonts w:hint="default"/>
      </w:rPr>
    </w:lvl>
    <w:lvl w:ilvl="2" w:tplc="E31A1BB4">
      <w:numFmt w:val="bullet"/>
      <w:lvlText w:val="•"/>
      <w:lvlJc w:val="left"/>
      <w:pPr>
        <w:ind w:left="2428" w:hanging="114"/>
      </w:pPr>
      <w:rPr>
        <w:rFonts w:hint="default"/>
      </w:rPr>
    </w:lvl>
    <w:lvl w:ilvl="3" w:tplc="25E07436">
      <w:numFmt w:val="bullet"/>
      <w:lvlText w:val="•"/>
      <w:lvlJc w:val="left"/>
      <w:pPr>
        <w:ind w:left="3232" w:hanging="114"/>
      </w:pPr>
      <w:rPr>
        <w:rFonts w:hint="default"/>
      </w:rPr>
    </w:lvl>
    <w:lvl w:ilvl="4" w:tplc="C07A8B96">
      <w:numFmt w:val="bullet"/>
      <w:lvlText w:val="•"/>
      <w:lvlJc w:val="left"/>
      <w:pPr>
        <w:ind w:left="4036" w:hanging="114"/>
      </w:pPr>
      <w:rPr>
        <w:rFonts w:hint="default"/>
      </w:rPr>
    </w:lvl>
    <w:lvl w:ilvl="5" w:tplc="988CD9D0">
      <w:numFmt w:val="bullet"/>
      <w:lvlText w:val="•"/>
      <w:lvlJc w:val="left"/>
      <w:pPr>
        <w:ind w:left="4840" w:hanging="114"/>
      </w:pPr>
      <w:rPr>
        <w:rFonts w:hint="default"/>
      </w:rPr>
    </w:lvl>
    <w:lvl w:ilvl="6" w:tplc="8772C350">
      <w:numFmt w:val="bullet"/>
      <w:lvlText w:val="•"/>
      <w:lvlJc w:val="left"/>
      <w:pPr>
        <w:ind w:left="5644" w:hanging="114"/>
      </w:pPr>
      <w:rPr>
        <w:rFonts w:hint="default"/>
      </w:rPr>
    </w:lvl>
    <w:lvl w:ilvl="7" w:tplc="606695CA">
      <w:numFmt w:val="bullet"/>
      <w:lvlText w:val="•"/>
      <w:lvlJc w:val="left"/>
      <w:pPr>
        <w:ind w:left="6448" w:hanging="114"/>
      </w:pPr>
      <w:rPr>
        <w:rFonts w:hint="default"/>
      </w:rPr>
    </w:lvl>
    <w:lvl w:ilvl="8" w:tplc="D3E812FC">
      <w:numFmt w:val="bullet"/>
      <w:lvlText w:val="•"/>
      <w:lvlJc w:val="left"/>
      <w:pPr>
        <w:ind w:left="7252" w:hanging="114"/>
      </w:pPr>
      <w:rPr>
        <w:rFonts w:hint="default"/>
      </w:rPr>
    </w:lvl>
  </w:abstractNum>
  <w:abstractNum w:abstractNumId="3">
    <w:nsid w:val="168F15C2"/>
    <w:multiLevelType w:val="hybridMultilevel"/>
    <w:tmpl w:val="B3C8ABFE"/>
    <w:lvl w:ilvl="0" w:tplc="AB02E1C0">
      <w:numFmt w:val="bullet"/>
      <w:lvlText w:val="-"/>
      <w:lvlJc w:val="left"/>
      <w:pPr>
        <w:ind w:left="4366" w:hanging="214"/>
      </w:pPr>
      <w:rPr>
        <w:rFonts w:ascii="Arial" w:eastAsia="Arial" w:hAnsi="Arial" w:cs="Arial" w:hint="default"/>
        <w:spacing w:val="-1"/>
        <w:w w:val="100"/>
        <w:sz w:val="24"/>
        <w:szCs w:val="24"/>
      </w:rPr>
    </w:lvl>
    <w:lvl w:ilvl="1" w:tplc="05D88EC6">
      <w:numFmt w:val="bullet"/>
      <w:lvlText w:val="•"/>
      <w:lvlJc w:val="left"/>
      <w:pPr>
        <w:ind w:left="4810" w:hanging="214"/>
      </w:pPr>
      <w:rPr>
        <w:rFonts w:hint="default"/>
      </w:rPr>
    </w:lvl>
    <w:lvl w:ilvl="2" w:tplc="E1AAF9CC">
      <w:numFmt w:val="bullet"/>
      <w:lvlText w:val="•"/>
      <w:lvlJc w:val="left"/>
      <w:pPr>
        <w:ind w:left="5260" w:hanging="214"/>
      </w:pPr>
      <w:rPr>
        <w:rFonts w:hint="default"/>
      </w:rPr>
    </w:lvl>
    <w:lvl w:ilvl="3" w:tplc="AE544E62">
      <w:numFmt w:val="bullet"/>
      <w:lvlText w:val="•"/>
      <w:lvlJc w:val="left"/>
      <w:pPr>
        <w:ind w:left="5710" w:hanging="214"/>
      </w:pPr>
      <w:rPr>
        <w:rFonts w:hint="default"/>
      </w:rPr>
    </w:lvl>
    <w:lvl w:ilvl="4" w:tplc="997CC3EA">
      <w:numFmt w:val="bullet"/>
      <w:lvlText w:val="•"/>
      <w:lvlJc w:val="left"/>
      <w:pPr>
        <w:ind w:left="6160" w:hanging="214"/>
      </w:pPr>
      <w:rPr>
        <w:rFonts w:hint="default"/>
      </w:rPr>
    </w:lvl>
    <w:lvl w:ilvl="5" w:tplc="9C5CFD08">
      <w:numFmt w:val="bullet"/>
      <w:lvlText w:val="•"/>
      <w:lvlJc w:val="left"/>
      <w:pPr>
        <w:ind w:left="6610" w:hanging="214"/>
      </w:pPr>
      <w:rPr>
        <w:rFonts w:hint="default"/>
      </w:rPr>
    </w:lvl>
    <w:lvl w:ilvl="6" w:tplc="CA70DB1C">
      <w:numFmt w:val="bullet"/>
      <w:lvlText w:val="•"/>
      <w:lvlJc w:val="left"/>
      <w:pPr>
        <w:ind w:left="7060" w:hanging="214"/>
      </w:pPr>
      <w:rPr>
        <w:rFonts w:hint="default"/>
      </w:rPr>
    </w:lvl>
    <w:lvl w:ilvl="7" w:tplc="589E2950">
      <w:numFmt w:val="bullet"/>
      <w:lvlText w:val="•"/>
      <w:lvlJc w:val="left"/>
      <w:pPr>
        <w:ind w:left="7510" w:hanging="214"/>
      </w:pPr>
      <w:rPr>
        <w:rFonts w:hint="default"/>
      </w:rPr>
    </w:lvl>
    <w:lvl w:ilvl="8" w:tplc="6B8082E0">
      <w:numFmt w:val="bullet"/>
      <w:lvlText w:val="•"/>
      <w:lvlJc w:val="left"/>
      <w:pPr>
        <w:ind w:left="7960" w:hanging="214"/>
      </w:pPr>
      <w:rPr>
        <w:rFonts w:hint="default"/>
      </w:rPr>
    </w:lvl>
  </w:abstractNum>
  <w:abstractNum w:abstractNumId="4">
    <w:nsid w:val="16E2230C"/>
    <w:multiLevelType w:val="hybridMultilevel"/>
    <w:tmpl w:val="79AAEC76"/>
    <w:lvl w:ilvl="0" w:tplc="72C2DE2A">
      <w:start w:val="2006"/>
      <w:numFmt w:val="bullet"/>
      <w:lvlText w:val="-"/>
      <w:lvlJc w:val="left"/>
      <w:pPr>
        <w:ind w:left="460" w:hanging="360"/>
      </w:pPr>
      <w:rPr>
        <w:rFonts w:ascii="Arial" w:eastAsia="Arial" w:hAnsi="Arial" w:cs="Arial" w:hint="default"/>
      </w:rPr>
    </w:lvl>
    <w:lvl w:ilvl="1" w:tplc="080C0003">
      <w:start w:val="1"/>
      <w:numFmt w:val="bullet"/>
      <w:lvlText w:val="o"/>
      <w:lvlJc w:val="left"/>
      <w:pPr>
        <w:ind w:left="1180" w:hanging="360"/>
      </w:pPr>
      <w:rPr>
        <w:rFonts w:ascii="Courier New" w:hAnsi="Courier New" w:cs="Courier New" w:hint="default"/>
      </w:rPr>
    </w:lvl>
    <w:lvl w:ilvl="2" w:tplc="080C0005" w:tentative="1">
      <w:start w:val="1"/>
      <w:numFmt w:val="bullet"/>
      <w:lvlText w:val=""/>
      <w:lvlJc w:val="left"/>
      <w:pPr>
        <w:ind w:left="1900" w:hanging="360"/>
      </w:pPr>
      <w:rPr>
        <w:rFonts w:ascii="Wingdings" w:hAnsi="Wingdings" w:hint="default"/>
      </w:rPr>
    </w:lvl>
    <w:lvl w:ilvl="3" w:tplc="080C0001" w:tentative="1">
      <w:start w:val="1"/>
      <w:numFmt w:val="bullet"/>
      <w:lvlText w:val=""/>
      <w:lvlJc w:val="left"/>
      <w:pPr>
        <w:ind w:left="2620" w:hanging="360"/>
      </w:pPr>
      <w:rPr>
        <w:rFonts w:ascii="Symbol" w:hAnsi="Symbol" w:hint="default"/>
      </w:rPr>
    </w:lvl>
    <w:lvl w:ilvl="4" w:tplc="080C0003" w:tentative="1">
      <w:start w:val="1"/>
      <w:numFmt w:val="bullet"/>
      <w:lvlText w:val="o"/>
      <w:lvlJc w:val="left"/>
      <w:pPr>
        <w:ind w:left="3340" w:hanging="360"/>
      </w:pPr>
      <w:rPr>
        <w:rFonts w:ascii="Courier New" w:hAnsi="Courier New" w:cs="Courier New" w:hint="default"/>
      </w:rPr>
    </w:lvl>
    <w:lvl w:ilvl="5" w:tplc="080C0005" w:tentative="1">
      <w:start w:val="1"/>
      <w:numFmt w:val="bullet"/>
      <w:lvlText w:val=""/>
      <w:lvlJc w:val="left"/>
      <w:pPr>
        <w:ind w:left="4060" w:hanging="360"/>
      </w:pPr>
      <w:rPr>
        <w:rFonts w:ascii="Wingdings" w:hAnsi="Wingdings" w:hint="default"/>
      </w:rPr>
    </w:lvl>
    <w:lvl w:ilvl="6" w:tplc="080C0001" w:tentative="1">
      <w:start w:val="1"/>
      <w:numFmt w:val="bullet"/>
      <w:lvlText w:val=""/>
      <w:lvlJc w:val="left"/>
      <w:pPr>
        <w:ind w:left="4780" w:hanging="360"/>
      </w:pPr>
      <w:rPr>
        <w:rFonts w:ascii="Symbol" w:hAnsi="Symbol" w:hint="default"/>
      </w:rPr>
    </w:lvl>
    <w:lvl w:ilvl="7" w:tplc="080C0003" w:tentative="1">
      <w:start w:val="1"/>
      <w:numFmt w:val="bullet"/>
      <w:lvlText w:val="o"/>
      <w:lvlJc w:val="left"/>
      <w:pPr>
        <w:ind w:left="5500" w:hanging="360"/>
      </w:pPr>
      <w:rPr>
        <w:rFonts w:ascii="Courier New" w:hAnsi="Courier New" w:cs="Courier New" w:hint="default"/>
      </w:rPr>
    </w:lvl>
    <w:lvl w:ilvl="8" w:tplc="080C0005" w:tentative="1">
      <w:start w:val="1"/>
      <w:numFmt w:val="bullet"/>
      <w:lvlText w:val=""/>
      <w:lvlJc w:val="left"/>
      <w:pPr>
        <w:ind w:left="6220" w:hanging="360"/>
      </w:pPr>
      <w:rPr>
        <w:rFonts w:ascii="Wingdings" w:hAnsi="Wingdings" w:hint="default"/>
      </w:rPr>
    </w:lvl>
  </w:abstractNum>
  <w:abstractNum w:abstractNumId="5">
    <w:nsid w:val="23A24237"/>
    <w:multiLevelType w:val="hybridMultilevel"/>
    <w:tmpl w:val="18886F10"/>
    <w:lvl w:ilvl="0" w:tplc="080C0001">
      <w:start w:val="1"/>
      <w:numFmt w:val="bullet"/>
      <w:lvlText w:val=""/>
      <w:lvlJc w:val="left"/>
      <w:pPr>
        <w:ind w:left="820" w:hanging="360"/>
      </w:pPr>
      <w:rPr>
        <w:rFonts w:ascii="Symbol" w:hAnsi="Symbol" w:hint="default"/>
      </w:rPr>
    </w:lvl>
    <w:lvl w:ilvl="1" w:tplc="080C0003" w:tentative="1">
      <w:start w:val="1"/>
      <w:numFmt w:val="bullet"/>
      <w:lvlText w:val="o"/>
      <w:lvlJc w:val="left"/>
      <w:pPr>
        <w:ind w:left="1540" w:hanging="360"/>
      </w:pPr>
      <w:rPr>
        <w:rFonts w:ascii="Courier New" w:hAnsi="Courier New" w:cs="Courier New" w:hint="default"/>
      </w:rPr>
    </w:lvl>
    <w:lvl w:ilvl="2" w:tplc="080C0005" w:tentative="1">
      <w:start w:val="1"/>
      <w:numFmt w:val="bullet"/>
      <w:lvlText w:val=""/>
      <w:lvlJc w:val="left"/>
      <w:pPr>
        <w:ind w:left="2260" w:hanging="360"/>
      </w:pPr>
      <w:rPr>
        <w:rFonts w:ascii="Wingdings" w:hAnsi="Wingdings" w:hint="default"/>
      </w:rPr>
    </w:lvl>
    <w:lvl w:ilvl="3" w:tplc="080C0001" w:tentative="1">
      <w:start w:val="1"/>
      <w:numFmt w:val="bullet"/>
      <w:lvlText w:val=""/>
      <w:lvlJc w:val="left"/>
      <w:pPr>
        <w:ind w:left="2980" w:hanging="360"/>
      </w:pPr>
      <w:rPr>
        <w:rFonts w:ascii="Symbol" w:hAnsi="Symbol" w:hint="default"/>
      </w:rPr>
    </w:lvl>
    <w:lvl w:ilvl="4" w:tplc="080C0003" w:tentative="1">
      <w:start w:val="1"/>
      <w:numFmt w:val="bullet"/>
      <w:lvlText w:val="o"/>
      <w:lvlJc w:val="left"/>
      <w:pPr>
        <w:ind w:left="3700" w:hanging="360"/>
      </w:pPr>
      <w:rPr>
        <w:rFonts w:ascii="Courier New" w:hAnsi="Courier New" w:cs="Courier New" w:hint="default"/>
      </w:rPr>
    </w:lvl>
    <w:lvl w:ilvl="5" w:tplc="080C0005" w:tentative="1">
      <w:start w:val="1"/>
      <w:numFmt w:val="bullet"/>
      <w:lvlText w:val=""/>
      <w:lvlJc w:val="left"/>
      <w:pPr>
        <w:ind w:left="4420" w:hanging="360"/>
      </w:pPr>
      <w:rPr>
        <w:rFonts w:ascii="Wingdings" w:hAnsi="Wingdings" w:hint="default"/>
      </w:rPr>
    </w:lvl>
    <w:lvl w:ilvl="6" w:tplc="080C0001" w:tentative="1">
      <w:start w:val="1"/>
      <w:numFmt w:val="bullet"/>
      <w:lvlText w:val=""/>
      <w:lvlJc w:val="left"/>
      <w:pPr>
        <w:ind w:left="5140" w:hanging="360"/>
      </w:pPr>
      <w:rPr>
        <w:rFonts w:ascii="Symbol" w:hAnsi="Symbol" w:hint="default"/>
      </w:rPr>
    </w:lvl>
    <w:lvl w:ilvl="7" w:tplc="080C0003" w:tentative="1">
      <w:start w:val="1"/>
      <w:numFmt w:val="bullet"/>
      <w:lvlText w:val="o"/>
      <w:lvlJc w:val="left"/>
      <w:pPr>
        <w:ind w:left="5860" w:hanging="360"/>
      </w:pPr>
      <w:rPr>
        <w:rFonts w:ascii="Courier New" w:hAnsi="Courier New" w:cs="Courier New" w:hint="default"/>
      </w:rPr>
    </w:lvl>
    <w:lvl w:ilvl="8" w:tplc="080C0005" w:tentative="1">
      <w:start w:val="1"/>
      <w:numFmt w:val="bullet"/>
      <w:lvlText w:val=""/>
      <w:lvlJc w:val="left"/>
      <w:pPr>
        <w:ind w:left="6580" w:hanging="360"/>
      </w:pPr>
      <w:rPr>
        <w:rFonts w:ascii="Wingdings" w:hAnsi="Wingdings" w:hint="default"/>
      </w:rPr>
    </w:lvl>
  </w:abstractNum>
  <w:abstractNum w:abstractNumId="6">
    <w:nsid w:val="38A5643A"/>
    <w:multiLevelType w:val="hybridMultilevel"/>
    <w:tmpl w:val="B23E7EFA"/>
    <w:lvl w:ilvl="0" w:tplc="080C0001">
      <w:start w:val="1"/>
      <w:numFmt w:val="bullet"/>
      <w:lvlText w:val=""/>
      <w:lvlJc w:val="left"/>
      <w:pPr>
        <w:ind w:left="2260" w:hanging="360"/>
      </w:pPr>
      <w:rPr>
        <w:rFonts w:ascii="Symbol" w:hAnsi="Symbol" w:hint="default"/>
      </w:rPr>
    </w:lvl>
    <w:lvl w:ilvl="1" w:tplc="080C0003" w:tentative="1">
      <w:start w:val="1"/>
      <w:numFmt w:val="bullet"/>
      <w:lvlText w:val="o"/>
      <w:lvlJc w:val="left"/>
      <w:pPr>
        <w:ind w:left="2980" w:hanging="360"/>
      </w:pPr>
      <w:rPr>
        <w:rFonts w:ascii="Courier New" w:hAnsi="Courier New" w:cs="Courier New" w:hint="default"/>
      </w:rPr>
    </w:lvl>
    <w:lvl w:ilvl="2" w:tplc="080C0005" w:tentative="1">
      <w:start w:val="1"/>
      <w:numFmt w:val="bullet"/>
      <w:lvlText w:val=""/>
      <w:lvlJc w:val="left"/>
      <w:pPr>
        <w:ind w:left="3700" w:hanging="360"/>
      </w:pPr>
      <w:rPr>
        <w:rFonts w:ascii="Wingdings" w:hAnsi="Wingdings" w:hint="default"/>
      </w:rPr>
    </w:lvl>
    <w:lvl w:ilvl="3" w:tplc="080C0001" w:tentative="1">
      <w:start w:val="1"/>
      <w:numFmt w:val="bullet"/>
      <w:lvlText w:val=""/>
      <w:lvlJc w:val="left"/>
      <w:pPr>
        <w:ind w:left="4420" w:hanging="360"/>
      </w:pPr>
      <w:rPr>
        <w:rFonts w:ascii="Symbol" w:hAnsi="Symbol" w:hint="default"/>
      </w:rPr>
    </w:lvl>
    <w:lvl w:ilvl="4" w:tplc="080C0003" w:tentative="1">
      <w:start w:val="1"/>
      <w:numFmt w:val="bullet"/>
      <w:lvlText w:val="o"/>
      <w:lvlJc w:val="left"/>
      <w:pPr>
        <w:ind w:left="5140" w:hanging="360"/>
      </w:pPr>
      <w:rPr>
        <w:rFonts w:ascii="Courier New" w:hAnsi="Courier New" w:cs="Courier New" w:hint="default"/>
      </w:rPr>
    </w:lvl>
    <w:lvl w:ilvl="5" w:tplc="080C0005" w:tentative="1">
      <w:start w:val="1"/>
      <w:numFmt w:val="bullet"/>
      <w:lvlText w:val=""/>
      <w:lvlJc w:val="left"/>
      <w:pPr>
        <w:ind w:left="5860" w:hanging="360"/>
      </w:pPr>
      <w:rPr>
        <w:rFonts w:ascii="Wingdings" w:hAnsi="Wingdings" w:hint="default"/>
      </w:rPr>
    </w:lvl>
    <w:lvl w:ilvl="6" w:tplc="080C0001" w:tentative="1">
      <w:start w:val="1"/>
      <w:numFmt w:val="bullet"/>
      <w:lvlText w:val=""/>
      <w:lvlJc w:val="left"/>
      <w:pPr>
        <w:ind w:left="6580" w:hanging="360"/>
      </w:pPr>
      <w:rPr>
        <w:rFonts w:ascii="Symbol" w:hAnsi="Symbol" w:hint="default"/>
      </w:rPr>
    </w:lvl>
    <w:lvl w:ilvl="7" w:tplc="080C0003" w:tentative="1">
      <w:start w:val="1"/>
      <w:numFmt w:val="bullet"/>
      <w:lvlText w:val="o"/>
      <w:lvlJc w:val="left"/>
      <w:pPr>
        <w:ind w:left="7300" w:hanging="360"/>
      </w:pPr>
      <w:rPr>
        <w:rFonts w:ascii="Courier New" w:hAnsi="Courier New" w:cs="Courier New" w:hint="default"/>
      </w:rPr>
    </w:lvl>
    <w:lvl w:ilvl="8" w:tplc="080C0005" w:tentative="1">
      <w:start w:val="1"/>
      <w:numFmt w:val="bullet"/>
      <w:lvlText w:val=""/>
      <w:lvlJc w:val="left"/>
      <w:pPr>
        <w:ind w:left="8020" w:hanging="360"/>
      </w:pPr>
      <w:rPr>
        <w:rFonts w:ascii="Wingdings" w:hAnsi="Wingdings" w:hint="default"/>
      </w:rPr>
    </w:lvl>
  </w:abstractNum>
  <w:abstractNum w:abstractNumId="7">
    <w:nsid w:val="3B71143A"/>
    <w:multiLevelType w:val="hybridMultilevel"/>
    <w:tmpl w:val="CC964848"/>
    <w:lvl w:ilvl="0" w:tplc="416C5F74">
      <w:start w:val="1"/>
      <w:numFmt w:val="decimal"/>
      <w:lvlText w:val="(%1)"/>
      <w:lvlJc w:val="left"/>
      <w:pPr>
        <w:ind w:left="460" w:hanging="271"/>
      </w:pPr>
      <w:rPr>
        <w:rFonts w:ascii="Arial" w:eastAsia="Arial" w:hAnsi="Arial" w:cs="Arial" w:hint="default"/>
        <w:i/>
        <w:spacing w:val="-17"/>
        <w:w w:val="100"/>
        <w:sz w:val="18"/>
        <w:szCs w:val="18"/>
      </w:rPr>
    </w:lvl>
    <w:lvl w:ilvl="1" w:tplc="81D2DB54">
      <w:numFmt w:val="bullet"/>
      <w:lvlText w:val="•"/>
      <w:lvlJc w:val="left"/>
      <w:pPr>
        <w:ind w:left="1300" w:hanging="271"/>
      </w:pPr>
      <w:rPr>
        <w:rFonts w:hint="default"/>
      </w:rPr>
    </w:lvl>
    <w:lvl w:ilvl="2" w:tplc="CE621D4A">
      <w:numFmt w:val="bullet"/>
      <w:lvlText w:val="•"/>
      <w:lvlJc w:val="left"/>
      <w:pPr>
        <w:ind w:left="2140" w:hanging="271"/>
      </w:pPr>
      <w:rPr>
        <w:rFonts w:hint="default"/>
      </w:rPr>
    </w:lvl>
    <w:lvl w:ilvl="3" w:tplc="ECBEB37E">
      <w:numFmt w:val="bullet"/>
      <w:lvlText w:val="•"/>
      <w:lvlJc w:val="left"/>
      <w:pPr>
        <w:ind w:left="2980" w:hanging="271"/>
      </w:pPr>
      <w:rPr>
        <w:rFonts w:hint="default"/>
      </w:rPr>
    </w:lvl>
    <w:lvl w:ilvl="4" w:tplc="6E5070A0">
      <w:numFmt w:val="bullet"/>
      <w:lvlText w:val="•"/>
      <w:lvlJc w:val="left"/>
      <w:pPr>
        <w:ind w:left="3820" w:hanging="271"/>
      </w:pPr>
      <w:rPr>
        <w:rFonts w:hint="default"/>
      </w:rPr>
    </w:lvl>
    <w:lvl w:ilvl="5" w:tplc="0D18D850">
      <w:numFmt w:val="bullet"/>
      <w:lvlText w:val="•"/>
      <w:lvlJc w:val="left"/>
      <w:pPr>
        <w:ind w:left="4660" w:hanging="271"/>
      </w:pPr>
      <w:rPr>
        <w:rFonts w:hint="default"/>
      </w:rPr>
    </w:lvl>
    <w:lvl w:ilvl="6" w:tplc="2A9627A8">
      <w:numFmt w:val="bullet"/>
      <w:lvlText w:val="•"/>
      <w:lvlJc w:val="left"/>
      <w:pPr>
        <w:ind w:left="5500" w:hanging="271"/>
      </w:pPr>
      <w:rPr>
        <w:rFonts w:hint="default"/>
      </w:rPr>
    </w:lvl>
    <w:lvl w:ilvl="7" w:tplc="AF90C8DC">
      <w:numFmt w:val="bullet"/>
      <w:lvlText w:val="•"/>
      <w:lvlJc w:val="left"/>
      <w:pPr>
        <w:ind w:left="6340" w:hanging="271"/>
      </w:pPr>
      <w:rPr>
        <w:rFonts w:hint="default"/>
      </w:rPr>
    </w:lvl>
    <w:lvl w:ilvl="8" w:tplc="1262B416">
      <w:numFmt w:val="bullet"/>
      <w:lvlText w:val="•"/>
      <w:lvlJc w:val="left"/>
      <w:pPr>
        <w:ind w:left="7180" w:hanging="271"/>
      </w:pPr>
      <w:rPr>
        <w:rFonts w:hint="default"/>
      </w:rPr>
    </w:lvl>
  </w:abstractNum>
  <w:abstractNum w:abstractNumId="8">
    <w:nsid w:val="53E94D58"/>
    <w:multiLevelType w:val="hybridMultilevel"/>
    <w:tmpl w:val="E11204DC"/>
    <w:lvl w:ilvl="0" w:tplc="ADC614A0">
      <w:numFmt w:val="bullet"/>
      <w:lvlText w:val="•"/>
      <w:lvlJc w:val="left"/>
      <w:pPr>
        <w:ind w:left="2260" w:hanging="720"/>
      </w:pPr>
      <w:rPr>
        <w:rFonts w:ascii="Arial" w:eastAsia="Arial" w:hAnsi="Arial" w:cs="Arial" w:hint="default"/>
        <w:b/>
        <w:bCs/>
        <w:color w:val="19962E"/>
        <w:spacing w:val="-1"/>
        <w:w w:val="100"/>
        <w:sz w:val="24"/>
        <w:szCs w:val="24"/>
      </w:rPr>
    </w:lvl>
    <w:lvl w:ilvl="1" w:tplc="96C6D9B6">
      <w:numFmt w:val="bullet"/>
      <w:lvlText w:val="•"/>
      <w:lvlJc w:val="left"/>
      <w:pPr>
        <w:ind w:left="2920" w:hanging="720"/>
      </w:pPr>
      <w:rPr>
        <w:rFonts w:hint="default"/>
      </w:rPr>
    </w:lvl>
    <w:lvl w:ilvl="2" w:tplc="CFBC1330">
      <w:numFmt w:val="bullet"/>
      <w:lvlText w:val="•"/>
      <w:lvlJc w:val="left"/>
      <w:pPr>
        <w:ind w:left="3580" w:hanging="720"/>
      </w:pPr>
      <w:rPr>
        <w:rFonts w:hint="default"/>
      </w:rPr>
    </w:lvl>
    <w:lvl w:ilvl="3" w:tplc="92D0AB0E">
      <w:numFmt w:val="bullet"/>
      <w:lvlText w:val="•"/>
      <w:lvlJc w:val="left"/>
      <w:pPr>
        <w:ind w:left="4240" w:hanging="720"/>
      </w:pPr>
      <w:rPr>
        <w:rFonts w:hint="default"/>
      </w:rPr>
    </w:lvl>
    <w:lvl w:ilvl="4" w:tplc="D4E27DF8">
      <w:numFmt w:val="bullet"/>
      <w:lvlText w:val="•"/>
      <w:lvlJc w:val="left"/>
      <w:pPr>
        <w:ind w:left="4900" w:hanging="720"/>
      </w:pPr>
      <w:rPr>
        <w:rFonts w:hint="default"/>
      </w:rPr>
    </w:lvl>
    <w:lvl w:ilvl="5" w:tplc="3B82580C">
      <w:numFmt w:val="bullet"/>
      <w:lvlText w:val="•"/>
      <w:lvlJc w:val="left"/>
      <w:pPr>
        <w:ind w:left="5560" w:hanging="720"/>
      </w:pPr>
      <w:rPr>
        <w:rFonts w:hint="default"/>
      </w:rPr>
    </w:lvl>
    <w:lvl w:ilvl="6" w:tplc="31C4A138">
      <w:numFmt w:val="bullet"/>
      <w:lvlText w:val="•"/>
      <w:lvlJc w:val="left"/>
      <w:pPr>
        <w:ind w:left="6220" w:hanging="720"/>
      </w:pPr>
      <w:rPr>
        <w:rFonts w:hint="default"/>
      </w:rPr>
    </w:lvl>
    <w:lvl w:ilvl="7" w:tplc="511C186E">
      <w:numFmt w:val="bullet"/>
      <w:lvlText w:val="•"/>
      <w:lvlJc w:val="left"/>
      <w:pPr>
        <w:ind w:left="6880" w:hanging="720"/>
      </w:pPr>
      <w:rPr>
        <w:rFonts w:hint="default"/>
      </w:rPr>
    </w:lvl>
    <w:lvl w:ilvl="8" w:tplc="76008274">
      <w:numFmt w:val="bullet"/>
      <w:lvlText w:val="•"/>
      <w:lvlJc w:val="left"/>
      <w:pPr>
        <w:ind w:left="7540" w:hanging="720"/>
      </w:pPr>
      <w:rPr>
        <w:rFonts w:hint="default"/>
      </w:rPr>
    </w:lvl>
  </w:abstractNum>
  <w:abstractNum w:abstractNumId="9">
    <w:nsid w:val="6B415AB2"/>
    <w:multiLevelType w:val="hybridMultilevel"/>
    <w:tmpl w:val="9E0CDAA6"/>
    <w:lvl w:ilvl="0" w:tplc="13D672C6">
      <w:start w:val="2004"/>
      <w:numFmt w:val="bullet"/>
      <w:lvlText w:val="-"/>
      <w:lvlJc w:val="left"/>
      <w:pPr>
        <w:ind w:left="460" w:hanging="360"/>
      </w:pPr>
      <w:rPr>
        <w:rFonts w:ascii="Arial" w:eastAsia="Arial" w:hAnsi="Arial" w:cs="Arial" w:hint="default"/>
      </w:rPr>
    </w:lvl>
    <w:lvl w:ilvl="1" w:tplc="080C0003" w:tentative="1">
      <w:start w:val="1"/>
      <w:numFmt w:val="bullet"/>
      <w:lvlText w:val="o"/>
      <w:lvlJc w:val="left"/>
      <w:pPr>
        <w:ind w:left="1180" w:hanging="360"/>
      </w:pPr>
      <w:rPr>
        <w:rFonts w:ascii="Courier New" w:hAnsi="Courier New" w:cs="Courier New" w:hint="default"/>
      </w:rPr>
    </w:lvl>
    <w:lvl w:ilvl="2" w:tplc="080C0005" w:tentative="1">
      <w:start w:val="1"/>
      <w:numFmt w:val="bullet"/>
      <w:lvlText w:val=""/>
      <w:lvlJc w:val="left"/>
      <w:pPr>
        <w:ind w:left="1900" w:hanging="360"/>
      </w:pPr>
      <w:rPr>
        <w:rFonts w:ascii="Wingdings" w:hAnsi="Wingdings" w:hint="default"/>
      </w:rPr>
    </w:lvl>
    <w:lvl w:ilvl="3" w:tplc="080C0001" w:tentative="1">
      <w:start w:val="1"/>
      <w:numFmt w:val="bullet"/>
      <w:lvlText w:val=""/>
      <w:lvlJc w:val="left"/>
      <w:pPr>
        <w:ind w:left="2620" w:hanging="360"/>
      </w:pPr>
      <w:rPr>
        <w:rFonts w:ascii="Symbol" w:hAnsi="Symbol" w:hint="default"/>
      </w:rPr>
    </w:lvl>
    <w:lvl w:ilvl="4" w:tplc="080C0003" w:tentative="1">
      <w:start w:val="1"/>
      <w:numFmt w:val="bullet"/>
      <w:lvlText w:val="o"/>
      <w:lvlJc w:val="left"/>
      <w:pPr>
        <w:ind w:left="3340" w:hanging="360"/>
      </w:pPr>
      <w:rPr>
        <w:rFonts w:ascii="Courier New" w:hAnsi="Courier New" w:cs="Courier New" w:hint="default"/>
      </w:rPr>
    </w:lvl>
    <w:lvl w:ilvl="5" w:tplc="080C0005" w:tentative="1">
      <w:start w:val="1"/>
      <w:numFmt w:val="bullet"/>
      <w:lvlText w:val=""/>
      <w:lvlJc w:val="left"/>
      <w:pPr>
        <w:ind w:left="4060" w:hanging="360"/>
      </w:pPr>
      <w:rPr>
        <w:rFonts w:ascii="Wingdings" w:hAnsi="Wingdings" w:hint="default"/>
      </w:rPr>
    </w:lvl>
    <w:lvl w:ilvl="6" w:tplc="080C0001" w:tentative="1">
      <w:start w:val="1"/>
      <w:numFmt w:val="bullet"/>
      <w:lvlText w:val=""/>
      <w:lvlJc w:val="left"/>
      <w:pPr>
        <w:ind w:left="4780" w:hanging="360"/>
      </w:pPr>
      <w:rPr>
        <w:rFonts w:ascii="Symbol" w:hAnsi="Symbol" w:hint="default"/>
      </w:rPr>
    </w:lvl>
    <w:lvl w:ilvl="7" w:tplc="080C0003" w:tentative="1">
      <w:start w:val="1"/>
      <w:numFmt w:val="bullet"/>
      <w:lvlText w:val="o"/>
      <w:lvlJc w:val="left"/>
      <w:pPr>
        <w:ind w:left="5500" w:hanging="360"/>
      </w:pPr>
      <w:rPr>
        <w:rFonts w:ascii="Courier New" w:hAnsi="Courier New" w:cs="Courier New" w:hint="default"/>
      </w:rPr>
    </w:lvl>
    <w:lvl w:ilvl="8" w:tplc="080C0005" w:tentative="1">
      <w:start w:val="1"/>
      <w:numFmt w:val="bullet"/>
      <w:lvlText w:val=""/>
      <w:lvlJc w:val="left"/>
      <w:pPr>
        <w:ind w:left="6220" w:hanging="360"/>
      </w:pPr>
      <w:rPr>
        <w:rFonts w:ascii="Wingdings" w:hAnsi="Wingdings" w:hint="default"/>
      </w:rPr>
    </w:lvl>
  </w:abstractNum>
  <w:num w:numId="1">
    <w:abstractNumId w:val="7"/>
  </w:num>
  <w:num w:numId="2">
    <w:abstractNumId w:val="2"/>
  </w:num>
  <w:num w:numId="3">
    <w:abstractNumId w:val="8"/>
  </w:num>
  <w:num w:numId="4">
    <w:abstractNumId w:val="3"/>
  </w:num>
  <w:num w:numId="5">
    <w:abstractNumId w:val="5"/>
  </w:num>
  <w:num w:numId="6">
    <w:abstractNumId w:val="1"/>
  </w:num>
  <w:num w:numId="7">
    <w:abstractNumId w:val="6"/>
  </w:num>
  <w:num w:numId="8">
    <w:abstractNumId w:val="0"/>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9D6B72"/>
    <w:rsid w:val="00001442"/>
    <w:rsid w:val="000E1B89"/>
    <w:rsid w:val="00170CB2"/>
    <w:rsid w:val="001C15F2"/>
    <w:rsid w:val="0020633B"/>
    <w:rsid w:val="00275E9D"/>
    <w:rsid w:val="003024B0"/>
    <w:rsid w:val="003550D8"/>
    <w:rsid w:val="00365A42"/>
    <w:rsid w:val="003A12D3"/>
    <w:rsid w:val="0040780B"/>
    <w:rsid w:val="00513E1F"/>
    <w:rsid w:val="00595676"/>
    <w:rsid w:val="00596EE9"/>
    <w:rsid w:val="005A414D"/>
    <w:rsid w:val="00623F3E"/>
    <w:rsid w:val="006323AB"/>
    <w:rsid w:val="00643D57"/>
    <w:rsid w:val="006671AF"/>
    <w:rsid w:val="006A6A0A"/>
    <w:rsid w:val="006C4B06"/>
    <w:rsid w:val="007057DD"/>
    <w:rsid w:val="007353F2"/>
    <w:rsid w:val="00762ABF"/>
    <w:rsid w:val="00814910"/>
    <w:rsid w:val="008F2328"/>
    <w:rsid w:val="00956DD6"/>
    <w:rsid w:val="009D6B72"/>
    <w:rsid w:val="00A1088C"/>
    <w:rsid w:val="00A820E7"/>
    <w:rsid w:val="00B06FB5"/>
    <w:rsid w:val="00B87100"/>
    <w:rsid w:val="00B87F92"/>
    <w:rsid w:val="00C12C1C"/>
    <w:rsid w:val="00C7338C"/>
    <w:rsid w:val="00CB070E"/>
    <w:rsid w:val="00D62838"/>
    <w:rsid w:val="00DB5EDD"/>
    <w:rsid w:val="00E06B08"/>
    <w:rsid w:val="00E23224"/>
    <w:rsid w:val="00E25108"/>
    <w:rsid w:val="00EB5BB6"/>
    <w:rsid w:val="00ED5D27"/>
    <w:rsid w:val="00FC6650"/>
    <w:rsid w:val="00FE2FE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6B72"/>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9D6B72"/>
    <w:tblPr>
      <w:tblInd w:w="0" w:type="dxa"/>
      <w:tblCellMar>
        <w:top w:w="0" w:type="dxa"/>
        <w:left w:w="0" w:type="dxa"/>
        <w:bottom w:w="0" w:type="dxa"/>
        <w:right w:w="0" w:type="dxa"/>
      </w:tblCellMar>
    </w:tblPr>
  </w:style>
  <w:style w:type="paragraph" w:styleId="Corpsdetexte">
    <w:name w:val="Body Text"/>
    <w:basedOn w:val="Normal"/>
    <w:uiPriority w:val="1"/>
    <w:qFormat/>
    <w:rsid w:val="009D6B72"/>
    <w:rPr>
      <w:sz w:val="24"/>
      <w:szCs w:val="24"/>
    </w:rPr>
  </w:style>
  <w:style w:type="paragraph" w:styleId="Paragraphedeliste">
    <w:name w:val="List Paragraph"/>
    <w:basedOn w:val="Normal"/>
    <w:uiPriority w:val="1"/>
    <w:qFormat/>
    <w:rsid w:val="009D6B72"/>
    <w:pPr>
      <w:ind w:left="460"/>
    </w:pPr>
  </w:style>
  <w:style w:type="paragraph" w:customStyle="1" w:styleId="TableParagraph">
    <w:name w:val="Table Paragraph"/>
    <w:basedOn w:val="Normal"/>
    <w:uiPriority w:val="1"/>
    <w:qFormat/>
    <w:rsid w:val="009D6B72"/>
  </w:style>
  <w:style w:type="character" w:styleId="Lienhypertexte">
    <w:name w:val="Hyperlink"/>
    <w:basedOn w:val="Policepardfaut"/>
    <w:uiPriority w:val="99"/>
    <w:unhideWhenUsed/>
    <w:rsid w:val="00596EE9"/>
    <w:rPr>
      <w:color w:val="0000FF" w:themeColor="hyperlink"/>
      <w:u w:val="single"/>
    </w:rPr>
  </w:style>
  <w:style w:type="paragraph" w:styleId="En-tte">
    <w:name w:val="header"/>
    <w:basedOn w:val="Normal"/>
    <w:link w:val="En-tteCar"/>
    <w:uiPriority w:val="99"/>
    <w:unhideWhenUsed/>
    <w:rsid w:val="00DB5EDD"/>
    <w:pPr>
      <w:tabs>
        <w:tab w:val="center" w:pos="4536"/>
        <w:tab w:val="right" w:pos="9072"/>
      </w:tabs>
    </w:pPr>
  </w:style>
  <w:style w:type="character" w:customStyle="1" w:styleId="En-tteCar">
    <w:name w:val="En-tête Car"/>
    <w:basedOn w:val="Policepardfaut"/>
    <w:link w:val="En-tte"/>
    <w:uiPriority w:val="99"/>
    <w:rsid w:val="00DB5EDD"/>
    <w:rPr>
      <w:rFonts w:ascii="Arial" w:eastAsia="Arial" w:hAnsi="Arial" w:cs="Arial"/>
    </w:rPr>
  </w:style>
  <w:style w:type="paragraph" w:styleId="Pieddepage">
    <w:name w:val="footer"/>
    <w:basedOn w:val="Normal"/>
    <w:link w:val="PieddepageCar"/>
    <w:uiPriority w:val="99"/>
    <w:semiHidden/>
    <w:unhideWhenUsed/>
    <w:rsid w:val="00DB5EDD"/>
    <w:pPr>
      <w:tabs>
        <w:tab w:val="center" w:pos="4536"/>
        <w:tab w:val="right" w:pos="9072"/>
      </w:tabs>
    </w:pPr>
  </w:style>
  <w:style w:type="character" w:customStyle="1" w:styleId="PieddepageCar">
    <w:name w:val="Pied de page Car"/>
    <w:basedOn w:val="Policepardfaut"/>
    <w:link w:val="Pieddepage"/>
    <w:uiPriority w:val="99"/>
    <w:semiHidden/>
    <w:rsid w:val="00DB5EDD"/>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priartem.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ic1.squarespace.com/static/5b8dbc1b7c9327d89d9428a4/t/5c7d8e6ba4222fbd945e0150/1551732333705/Appel_international_demandant_l%27arr&#234;t_du_d&#233;ploiement_de_la_5G_+sur_Terre_et_dans_l%27espa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3002533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bi.nlm.nih.gov/pubmed/30025338" TargetMode="External"/><Relationship Id="rId4" Type="http://schemas.openxmlformats.org/officeDocument/2006/relationships/settings" Target="settings.xml"/><Relationship Id="rId9" Type="http://schemas.openxmlformats.org/officeDocument/2006/relationships/hyperlink" Target="http://www.priartem.fr/Ondes-et-tumeurs-Des-preuves.html?var_recherche=NT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A0542-9880-4F88-A8D0-0C1EB6057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2386</Words>
  <Characters>13129</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Claire-Lise &amp; Léon</dc:creator>
  <cp:lastModifiedBy>Utilisateur</cp:lastModifiedBy>
  <cp:revision>3</cp:revision>
  <cp:lastPrinted>2019-10-10T15:00:00Z</cp:lastPrinted>
  <dcterms:created xsi:type="dcterms:W3CDTF">2019-10-22T08:35:00Z</dcterms:created>
  <dcterms:modified xsi:type="dcterms:W3CDTF">2019-10-22T08:39:00Z</dcterms:modified>
</cp:coreProperties>
</file>